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8D17" w14:textId="77777777" w:rsidR="003D4B06" w:rsidRPr="0050669C" w:rsidRDefault="00121A15" w:rsidP="00D46D0D">
      <w:pPr>
        <w:spacing w:after="0" w:line="240" w:lineRule="auto"/>
        <w:jc w:val="center"/>
        <w:rPr>
          <w:rFonts w:ascii="Century Gothic" w:hAnsi="Century Gothic"/>
          <w:b/>
          <w:color w:val="FF0000"/>
          <w:sz w:val="28"/>
        </w:rPr>
      </w:pPr>
      <w:r>
        <w:rPr>
          <w:rFonts w:ascii="Century Gothic" w:hAnsi="Century Gothic"/>
          <w:b/>
          <w:sz w:val="28"/>
        </w:rPr>
        <w:t>202</w:t>
      </w:r>
      <w:r w:rsidR="005547B5">
        <w:rPr>
          <w:rFonts w:ascii="Century Gothic" w:hAnsi="Century Gothic"/>
          <w:b/>
          <w:sz w:val="28"/>
        </w:rPr>
        <w:t>5</w:t>
      </w:r>
      <w:r>
        <w:rPr>
          <w:rFonts w:ascii="Century Gothic" w:hAnsi="Century Gothic"/>
          <w:b/>
          <w:sz w:val="28"/>
        </w:rPr>
        <w:t>-202</w:t>
      </w:r>
      <w:r w:rsidR="005547B5">
        <w:rPr>
          <w:rFonts w:ascii="Century Gothic" w:hAnsi="Century Gothic"/>
          <w:b/>
          <w:sz w:val="28"/>
        </w:rPr>
        <w:t>6</w:t>
      </w:r>
      <w:r w:rsidR="003D4B06" w:rsidRPr="00D46D0D">
        <w:rPr>
          <w:rFonts w:ascii="Century Gothic" w:hAnsi="Century Gothic"/>
          <w:b/>
          <w:sz w:val="28"/>
        </w:rPr>
        <w:t xml:space="preserve"> </w:t>
      </w:r>
      <w:r w:rsidR="00D46D0D">
        <w:rPr>
          <w:rFonts w:ascii="Century Gothic" w:hAnsi="Century Gothic"/>
          <w:b/>
          <w:sz w:val="28"/>
        </w:rPr>
        <w:t>GRANT YEAR AWARD CRITERIA</w:t>
      </w:r>
    </w:p>
    <w:p w14:paraId="6CD95C22" w14:textId="77777777" w:rsidR="0050669C" w:rsidRPr="0050669C" w:rsidRDefault="0050669C" w:rsidP="007F631B">
      <w:pPr>
        <w:spacing w:after="0" w:line="276" w:lineRule="auto"/>
        <w:rPr>
          <w:rFonts w:ascii="Century Gothic" w:hAnsi="Century Gothic"/>
          <w:color w:val="FF0000"/>
        </w:rPr>
      </w:pPr>
    </w:p>
    <w:p w14:paraId="69B067B4" w14:textId="77777777" w:rsidR="0050669C" w:rsidRDefault="0050669C" w:rsidP="007F631B">
      <w:pPr>
        <w:spacing w:after="0" w:line="276" w:lineRule="auto"/>
        <w:rPr>
          <w:rFonts w:ascii="Century Gothic" w:hAnsi="Century Gothic"/>
        </w:rPr>
      </w:pPr>
    </w:p>
    <w:p w14:paraId="2F875F33" w14:textId="77777777" w:rsidR="007F631B" w:rsidRDefault="003D4B06" w:rsidP="007F631B">
      <w:pPr>
        <w:spacing w:after="0" w:line="276" w:lineRule="auto"/>
        <w:rPr>
          <w:rFonts w:ascii="Century Gothic" w:hAnsi="Century Gothic"/>
        </w:rPr>
      </w:pPr>
      <w:r w:rsidRPr="003D4B06">
        <w:rPr>
          <w:rFonts w:ascii="Century Gothic" w:hAnsi="Century Gothic"/>
        </w:rPr>
        <w:t>The MT Flex/PIN Quality Award was developed by the MT Performance Improvement Network (PIN) to recognize MT Critical Access Hospitals (CAH) and their efforts in improving quality within their organization.</w:t>
      </w:r>
      <w:r w:rsidR="007F631B" w:rsidRPr="007F631B">
        <w:rPr>
          <w:rFonts w:ascii="Century Gothic" w:hAnsi="Century Gothic"/>
        </w:rPr>
        <w:t xml:space="preserve"> </w:t>
      </w:r>
      <w:r w:rsidR="007F631B" w:rsidRPr="003D4B06">
        <w:rPr>
          <w:rFonts w:ascii="Century Gothic" w:hAnsi="Century Gothic"/>
        </w:rPr>
        <w:t>By meeting the criteria outlined in this document, MT CAHs demonstrate leadership, community, willingness to share with peers, and a commitment to improvement.</w:t>
      </w:r>
    </w:p>
    <w:p w14:paraId="775BF633" w14:textId="77777777" w:rsidR="00D46D0D" w:rsidRPr="003D4B06" w:rsidRDefault="00D46D0D" w:rsidP="00B24F5A">
      <w:pPr>
        <w:spacing w:after="0" w:line="276" w:lineRule="auto"/>
        <w:rPr>
          <w:rFonts w:ascii="Century Gothic" w:hAnsi="Century Gothic"/>
        </w:rPr>
      </w:pPr>
    </w:p>
    <w:p w14:paraId="1E00F818" w14:textId="720F88EC" w:rsidR="003D4B06" w:rsidRDefault="003D4B06" w:rsidP="00B24F5A">
      <w:pPr>
        <w:spacing w:after="0" w:line="276" w:lineRule="auto"/>
        <w:rPr>
          <w:rFonts w:ascii="Century Gothic" w:hAnsi="Century Gothic"/>
        </w:rPr>
      </w:pPr>
      <w:r w:rsidRPr="003D4B06">
        <w:rPr>
          <w:rFonts w:ascii="Century Gothic" w:hAnsi="Century Gothic"/>
        </w:rPr>
        <w:t>Hospitals must meet all criteria during the grant year to qualify for an award.  The Flex Grant Year is September 1</w:t>
      </w:r>
      <w:r w:rsidR="000E7B91">
        <w:rPr>
          <w:rFonts w:ascii="Century Gothic" w:hAnsi="Century Gothic"/>
        </w:rPr>
        <w:t xml:space="preserve">, </w:t>
      </w:r>
      <w:r w:rsidR="00121A15">
        <w:rPr>
          <w:rFonts w:ascii="Century Gothic" w:hAnsi="Century Gothic"/>
        </w:rPr>
        <w:t>202</w:t>
      </w:r>
      <w:r w:rsidR="005547B5">
        <w:rPr>
          <w:rFonts w:ascii="Century Gothic" w:hAnsi="Century Gothic"/>
        </w:rPr>
        <w:t>5</w:t>
      </w:r>
      <w:r w:rsidRPr="003D4B06">
        <w:rPr>
          <w:rFonts w:ascii="Century Gothic" w:hAnsi="Century Gothic"/>
        </w:rPr>
        <w:t xml:space="preserve"> through August 31</w:t>
      </w:r>
      <w:r w:rsidR="000E7B91">
        <w:rPr>
          <w:rFonts w:ascii="Century Gothic" w:hAnsi="Century Gothic"/>
        </w:rPr>
        <w:t>, 20</w:t>
      </w:r>
      <w:r w:rsidR="00121A15">
        <w:rPr>
          <w:rFonts w:ascii="Century Gothic" w:hAnsi="Century Gothic"/>
        </w:rPr>
        <w:t>2</w:t>
      </w:r>
      <w:r w:rsidR="005547B5">
        <w:rPr>
          <w:rFonts w:ascii="Century Gothic" w:hAnsi="Century Gothic"/>
        </w:rPr>
        <w:t>6</w:t>
      </w:r>
      <w:r w:rsidRPr="003D4B06">
        <w:rPr>
          <w:rFonts w:ascii="Century Gothic" w:hAnsi="Century Gothic"/>
        </w:rPr>
        <w:t>.</w:t>
      </w:r>
      <w:r w:rsidR="00C46464">
        <w:rPr>
          <w:rFonts w:ascii="Century Gothic" w:hAnsi="Century Gothic"/>
        </w:rPr>
        <w:t xml:space="preserve"> </w:t>
      </w:r>
      <w:r w:rsidR="005547B5">
        <w:rPr>
          <w:rFonts w:ascii="Century Gothic" w:hAnsi="Century Gothic"/>
        </w:rPr>
        <w:t xml:space="preserve">Data reporting is </w:t>
      </w:r>
      <w:r w:rsidR="00664855">
        <w:rPr>
          <w:rFonts w:ascii="Century Gothic" w:hAnsi="Century Gothic"/>
        </w:rPr>
        <w:t xml:space="preserve">a </w:t>
      </w:r>
      <w:r w:rsidR="005547B5">
        <w:rPr>
          <w:rFonts w:ascii="Century Gothic" w:hAnsi="Century Gothic"/>
        </w:rPr>
        <w:t xml:space="preserve">requirement of the Flex </w:t>
      </w:r>
      <w:r w:rsidR="00664855">
        <w:rPr>
          <w:rFonts w:ascii="Century Gothic" w:hAnsi="Century Gothic"/>
        </w:rPr>
        <w:t>Program,</w:t>
      </w:r>
      <w:r w:rsidR="005547B5">
        <w:rPr>
          <w:rFonts w:ascii="Century Gothic" w:hAnsi="Century Gothic"/>
        </w:rPr>
        <w:t xml:space="preserve"> and the Quality team will be tracking and monitoring data submissions for each CAHs. In order to be eligible for a PIN Award, a CAH must meet all 3 areas of criteria. </w:t>
      </w:r>
    </w:p>
    <w:p w14:paraId="263A640C" w14:textId="77777777" w:rsidR="00D46D0D" w:rsidRDefault="00D46D0D" w:rsidP="00EC29BD">
      <w:pPr>
        <w:spacing w:after="0" w:line="240" w:lineRule="auto"/>
        <w:rPr>
          <w:rFonts w:ascii="Century Gothic" w:hAnsi="Century Gothic"/>
        </w:rPr>
      </w:pPr>
    </w:p>
    <w:p w14:paraId="291CE419" w14:textId="77777777" w:rsidR="00255106" w:rsidRDefault="00255106" w:rsidP="00255106">
      <w:pPr>
        <w:spacing w:line="240" w:lineRule="auto"/>
        <w:rPr>
          <w:rFonts w:ascii="Century Gothic" w:hAnsi="Century Gothic"/>
          <w:b/>
          <w:u w:val="single"/>
        </w:rPr>
      </w:pPr>
      <w:r w:rsidRPr="00FB2F27">
        <w:rPr>
          <w:rFonts w:ascii="Century Gothic" w:hAnsi="Century Gothic"/>
          <w:b/>
          <w:u w:val="single"/>
        </w:rPr>
        <w:t>Please contact the MT Flex Team with any questions or needs for assistance:</w:t>
      </w:r>
    </w:p>
    <w:tbl>
      <w:tblPr>
        <w:tblStyle w:val="TableGrid1"/>
        <w:tblW w:w="64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3693"/>
      </w:tblGrid>
      <w:tr w:rsidR="00B63953" w:rsidRPr="00271168" w14:paraId="164E8AC8" w14:textId="77777777" w:rsidTr="00664855">
        <w:trPr>
          <w:trHeight w:val="315"/>
          <w:jc w:val="center"/>
        </w:trPr>
        <w:tc>
          <w:tcPr>
            <w:tcW w:w="2781" w:type="dxa"/>
            <w:vAlign w:val="center"/>
          </w:tcPr>
          <w:p w14:paraId="54674E59" w14:textId="77777777" w:rsidR="00B63953" w:rsidRPr="00271168" w:rsidRDefault="00B63953" w:rsidP="00664855">
            <w:pPr>
              <w:jc w:val="center"/>
              <w:rPr>
                <w:rFonts w:ascii="Century Gothic" w:hAnsi="Century Gothic"/>
                <w:sz w:val="20"/>
              </w:rPr>
            </w:pPr>
            <w:r>
              <w:rPr>
                <w:rFonts w:ascii="Century Gothic" w:hAnsi="Century Gothic"/>
                <w:sz w:val="20"/>
              </w:rPr>
              <w:t>Casey Driscoll</w:t>
            </w:r>
          </w:p>
        </w:tc>
        <w:tc>
          <w:tcPr>
            <w:tcW w:w="3693" w:type="dxa"/>
            <w:vAlign w:val="center"/>
          </w:tcPr>
          <w:p w14:paraId="1A35A02C" w14:textId="77777777" w:rsidR="00B63953" w:rsidRPr="00271168" w:rsidRDefault="00B63953" w:rsidP="00664855">
            <w:pPr>
              <w:jc w:val="center"/>
              <w:rPr>
                <w:rFonts w:ascii="Century Gothic" w:hAnsi="Century Gothic"/>
                <w:sz w:val="20"/>
              </w:rPr>
            </w:pPr>
            <w:r w:rsidRPr="00271168">
              <w:rPr>
                <w:rFonts w:ascii="Century Gothic" w:hAnsi="Century Gothic"/>
                <w:sz w:val="20"/>
              </w:rPr>
              <w:t>Lindsay Konen</w:t>
            </w:r>
          </w:p>
        </w:tc>
      </w:tr>
      <w:tr w:rsidR="00B63953" w:rsidRPr="00271168" w14:paraId="068679AA" w14:textId="77777777" w:rsidTr="00664855">
        <w:trPr>
          <w:trHeight w:val="315"/>
          <w:jc w:val="center"/>
        </w:trPr>
        <w:tc>
          <w:tcPr>
            <w:tcW w:w="2781" w:type="dxa"/>
            <w:vAlign w:val="center"/>
          </w:tcPr>
          <w:p w14:paraId="5E2EE97B" w14:textId="77777777" w:rsidR="00B63953" w:rsidRPr="00271168" w:rsidRDefault="00B63953" w:rsidP="00664855">
            <w:pPr>
              <w:jc w:val="center"/>
              <w:rPr>
                <w:rFonts w:ascii="Century Gothic" w:hAnsi="Century Gothic"/>
                <w:sz w:val="20"/>
              </w:rPr>
            </w:pPr>
            <w:r>
              <w:rPr>
                <w:rFonts w:ascii="Century Gothic" w:hAnsi="Century Gothic"/>
                <w:sz w:val="20"/>
              </w:rPr>
              <w:t>Quality Programs Director</w:t>
            </w:r>
          </w:p>
        </w:tc>
        <w:tc>
          <w:tcPr>
            <w:tcW w:w="3693" w:type="dxa"/>
            <w:vAlign w:val="center"/>
          </w:tcPr>
          <w:p w14:paraId="48BFF0D2" w14:textId="0C6E427E" w:rsidR="00B63953" w:rsidRPr="00271168" w:rsidRDefault="00B63953" w:rsidP="00664855">
            <w:pPr>
              <w:jc w:val="center"/>
              <w:rPr>
                <w:rFonts w:ascii="Century Gothic" w:hAnsi="Century Gothic"/>
                <w:sz w:val="20"/>
              </w:rPr>
            </w:pPr>
            <w:r>
              <w:rPr>
                <w:rFonts w:ascii="Century Gothic" w:hAnsi="Century Gothic"/>
                <w:sz w:val="20"/>
              </w:rPr>
              <w:t>Program Specialist</w:t>
            </w:r>
          </w:p>
        </w:tc>
      </w:tr>
      <w:tr w:rsidR="00B63953" w:rsidRPr="00271168" w14:paraId="64FB2755" w14:textId="77777777" w:rsidTr="00664855">
        <w:trPr>
          <w:trHeight w:val="315"/>
          <w:jc w:val="center"/>
        </w:trPr>
        <w:tc>
          <w:tcPr>
            <w:tcW w:w="2781" w:type="dxa"/>
            <w:vAlign w:val="center"/>
          </w:tcPr>
          <w:p w14:paraId="6FF62C45" w14:textId="77777777" w:rsidR="00B63953" w:rsidRPr="00271168" w:rsidRDefault="00B63953" w:rsidP="00664855">
            <w:pPr>
              <w:jc w:val="center"/>
              <w:rPr>
                <w:rFonts w:ascii="Century Gothic" w:hAnsi="Century Gothic"/>
                <w:sz w:val="20"/>
              </w:rPr>
            </w:pPr>
            <w:r>
              <w:rPr>
                <w:rFonts w:ascii="Century Gothic" w:hAnsi="Century Gothic"/>
                <w:sz w:val="20"/>
              </w:rPr>
              <w:t>406.457.8000</w:t>
            </w:r>
          </w:p>
        </w:tc>
        <w:tc>
          <w:tcPr>
            <w:tcW w:w="3693" w:type="dxa"/>
            <w:vAlign w:val="center"/>
          </w:tcPr>
          <w:p w14:paraId="520D5823" w14:textId="77777777" w:rsidR="00B63953" w:rsidRPr="00271168" w:rsidRDefault="00B63953" w:rsidP="00664855">
            <w:pPr>
              <w:jc w:val="center"/>
              <w:rPr>
                <w:rFonts w:ascii="Century Gothic" w:hAnsi="Century Gothic"/>
                <w:sz w:val="20"/>
              </w:rPr>
            </w:pPr>
            <w:r w:rsidRPr="00271168">
              <w:rPr>
                <w:rFonts w:ascii="Century Gothic" w:hAnsi="Century Gothic"/>
                <w:sz w:val="20"/>
              </w:rPr>
              <w:t>406.457.8002</w:t>
            </w:r>
          </w:p>
        </w:tc>
      </w:tr>
      <w:tr w:rsidR="00B63953" w:rsidRPr="00271168" w14:paraId="2BACBC04" w14:textId="77777777" w:rsidTr="00664855">
        <w:trPr>
          <w:trHeight w:val="315"/>
          <w:jc w:val="center"/>
        </w:trPr>
        <w:tc>
          <w:tcPr>
            <w:tcW w:w="2781" w:type="dxa"/>
            <w:vAlign w:val="center"/>
          </w:tcPr>
          <w:p w14:paraId="1220C1F2" w14:textId="77777777" w:rsidR="00B63953" w:rsidRPr="00271168" w:rsidRDefault="00B63953" w:rsidP="00664855">
            <w:pPr>
              <w:jc w:val="center"/>
              <w:rPr>
                <w:rFonts w:ascii="Century Gothic" w:hAnsi="Century Gothic"/>
                <w:sz w:val="20"/>
              </w:rPr>
            </w:pPr>
            <w:r>
              <w:rPr>
                <w:rFonts w:ascii="Century Gothic" w:hAnsi="Century Gothic"/>
                <w:sz w:val="20"/>
              </w:rPr>
              <w:t>Casey.driscoll</w:t>
            </w:r>
            <w:r w:rsidRPr="00271168">
              <w:rPr>
                <w:rFonts w:ascii="Century Gothic" w:hAnsi="Century Gothic"/>
                <w:sz w:val="20"/>
              </w:rPr>
              <w:t>@mtha.org</w:t>
            </w:r>
          </w:p>
        </w:tc>
        <w:tc>
          <w:tcPr>
            <w:tcW w:w="3693" w:type="dxa"/>
            <w:vAlign w:val="center"/>
          </w:tcPr>
          <w:p w14:paraId="0DBD2122" w14:textId="77777777" w:rsidR="00B63953" w:rsidRPr="00271168" w:rsidRDefault="00B63953" w:rsidP="00664855">
            <w:pPr>
              <w:jc w:val="center"/>
              <w:rPr>
                <w:rFonts w:ascii="Century Gothic" w:hAnsi="Century Gothic"/>
                <w:sz w:val="20"/>
              </w:rPr>
            </w:pPr>
            <w:r w:rsidRPr="00271168">
              <w:rPr>
                <w:rFonts w:ascii="Century Gothic" w:hAnsi="Century Gothic"/>
                <w:sz w:val="20"/>
              </w:rPr>
              <w:t>lindsay.konen@mtha.org</w:t>
            </w:r>
          </w:p>
        </w:tc>
      </w:tr>
    </w:tbl>
    <w:p w14:paraId="1CB5B4CE" w14:textId="77777777" w:rsidR="00255106" w:rsidRDefault="00255106" w:rsidP="00255106">
      <w:pPr>
        <w:spacing w:after="0" w:line="240" w:lineRule="auto"/>
        <w:rPr>
          <w:rFonts w:ascii="Century Gothic" w:hAnsi="Century Gothic"/>
          <w:b/>
          <w:sz w:val="28"/>
        </w:rPr>
      </w:pPr>
    </w:p>
    <w:p w14:paraId="01E60407" w14:textId="77777777" w:rsidR="00271168" w:rsidRDefault="00271168" w:rsidP="00255106">
      <w:pPr>
        <w:spacing w:after="0" w:line="240" w:lineRule="auto"/>
        <w:rPr>
          <w:rFonts w:ascii="Century Gothic" w:hAnsi="Century Gothic"/>
          <w:b/>
          <w:sz w:val="28"/>
        </w:rPr>
      </w:pPr>
    </w:p>
    <w:p w14:paraId="70353511" w14:textId="77777777" w:rsidR="0045794B" w:rsidRPr="0045794B" w:rsidRDefault="0045794B" w:rsidP="00B82E04">
      <w:pPr>
        <w:spacing w:after="0" w:line="240" w:lineRule="auto"/>
        <w:jc w:val="center"/>
        <w:rPr>
          <w:rFonts w:ascii="Century Gothic" w:hAnsi="Century Gothic"/>
          <w:b/>
          <w:sz w:val="28"/>
        </w:rPr>
      </w:pPr>
      <w:r>
        <w:rPr>
          <w:rFonts w:ascii="Century Gothic" w:hAnsi="Century Gothic"/>
          <w:b/>
          <w:sz w:val="28"/>
        </w:rPr>
        <w:t>CRITERIA INFORMATION AND DETAILS</w:t>
      </w:r>
    </w:p>
    <w:p w14:paraId="4441B3AE" w14:textId="77777777" w:rsidR="00CC063B" w:rsidRPr="00A41239" w:rsidRDefault="00CC063B" w:rsidP="00CD75C4">
      <w:pPr>
        <w:spacing w:line="240" w:lineRule="auto"/>
        <w:rPr>
          <w:rFonts w:ascii="Century Gothic" w:hAnsi="Century Gothic"/>
          <w:b/>
          <w:color w:val="FFFFFF" w:themeColor="background1"/>
        </w:rPr>
      </w:pPr>
    </w:p>
    <w:p w14:paraId="2796F759" w14:textId="77777777" w:rsidR="00271168" w:rsidRPr="00271168" w:rsidRDefault="0045794B" w:rsidP="00271168">
      <w:pPr>
        <w:spacing w:line="240" w:lineRule="auto"/>
        <w:rPr>
          <w:rFonts w:ascii="Century Gothic" w:hAnsi="Century Gothic"/>
        </w:rPr>
      </w:pPr>
      <w:r w:rsidRPr="00A41239">
        <w:rPr>
          <w:rFonts w:ascii="Century Gothic" w:hAnsi="Century Gothic"/>
          <w:b/>
          <w:color w:val="FFFFFF" w:themeColor="background1"/>
          <w:highlight w:val="darkBlue"/>
        </w:rPr>
        <w:t>CRITERIA #1: PERFORMANCE IMPROVEMENT</w:t>
      </w:r>
      <w:r w:rsidR="00332F59" w:rsidRPr="00332F59">
        <w:rPr>
          <w:rFonts w:ascii="Century Gothic" w:hAnsi="Century Gothic"/>
        </w:rPr>
        <w:br/>
      </w:r>
      <w:r w:rsidR="00271168" w:rsidRPr="00271168">
        <w:rPr>
          <w:rFonts w:ascii="Century Gothic" w:hAnsi="Century Gothic"/>
        </w:rPr>
        <w:t>Submit</w:t>
      </w:r>
      <w:r w:rsidR="00B82E04">
        <w:rPr>
          <w:rFonts w:ascii="Century Gothic" w:hAnsi="Century Gothic"/>
        </w:rPr>
        <w:t xml:space="preserve"> a project summary including</w:t>
      </w:r>
      <w:r w:rsidR="00271168" w:rsidRPr="00271168">
        <w:rPr>
          <w:rFonts w:ascii="Century Gothic" w:hAnsi="Century Gothic"/>
        </w:rPr>
        <w:t xml:space="preserve"> baseline and outcomes data </w:t>
      </w:r>
      <w:r w:rsidR="00D3174C">
        <w:rPr>
          <w:rFonts w:ascii="Century Gothic" w:hAnsi="Century Gothic"/>
        </w:rPr>
        <w:t>to</w:t>
      </w:r>
      <w:r w:rsidR="00271168" w:rsidRPr="00271168">
        <w:rPr>
          <w:rFonts w:ascii="Century Gothic" w:hAnsi="Century Gothic"/>
        </w:rPr>
        <w:t xml:space="preserve"> show improvement ta</w:t>
      </w:r>
      <w:r w:rsidR="00DA2866">
        <w:rPr>
          <w:rFonts w:ascii="Century Gothic" w:hAnsi="Century Gothic"/>
        </w:rPr>
        <w:t xml:space="preserve">rgeted to at least one (1) </w:t>
      </w:r>
      <w:r w:rsidR="00D3174C">
        <w:rPr>
          <w:rFonts w:ascii="Century Gothic" w:hAnsi="Century Gothic"/>
        </w:rPr>
        <w:t>improvement goal</w:t>
      </w:r>
      <w:r w:rsidR="00DA2866">
        <w:rPr>
          <w:rFonts w:ascii="Century Gothic" w:hAnsi="Century Gothic"/>
        </w:rPr>
        <w:t xml:space="preserve">. </w:t>
      </w:r>
      <w:r w:rsidR="00DA2866" w:rsidRPr="00B82E04">
        <w:rPr>
          <w:rFonts w:ascii="Century Gothic" w:hAnsi="Century Gothic"/>
        </w:rPr>
        <w:t>CAHs are encouraged to select from the</w:t>
      </w:r>
      <w:r w:rsidR="00B82E04" w:rsidRPr="00B82E04">
        <w:rPr>
          <w:rFonts w:ascii="Century Gothic" w:hAnsi="Century Gothic"/>
        </w:rPr>
        <w:t xml:space="preserve"> list below. </w:t>
      </w:r>
      <w:r w:rsidR="00562B9A">
        <w:rPr>
          <w:rFonts w:ascii="Century Gothic" w:hAnsi="Century Gothic"/>
        </w:rPr>
        <w:t xml:space="preserve">Applications </w:t>
      </w:r>
      <w:r w:rsidR="00271168" w:rsidRPr="00271168">
        <w:rPr>
          <w:rFonts w:ascii="Century Gothic" w:hAnsi="Century Gothic"/>
        </w:rPr>
        <w:t>must b</w:t>
      </w:r>
      <w:r w:rsidR="00271168">
        <w:rPr>
          <w:rFonts w:ascii="Century Gothic" w:hAnsi="Century Gothic"/>
        </w:rPr>
        <w:t>e submitted via online platform, and applicatio</w:t>
      </w:r>
      <w:r w:rsidR="00121A15">
        <w:rPr>
          <w:rFonts w:ascii="Century Gothic" w:hAnsi="Century Gothic"/>
        </w:rPr>
        <w:t xml:space="preserve">ns will open </w:t>
      </w:r>
      <w:r w:rsidR="00E115C9">
        <w:rPr>
          <w:rFonts w:ascii="Century Gothic" w:hAnsi="Century Gothic"/>
        </w:rPr>
        <w:t>May 202</w:t>
      </w:r>
      <w:r w:rsidR="005547B5">
        <w:rPr>
          <w:rFonts w:ascii="Century Gothic" w:hAnsi="Century Gothic"/>
        </w:rPr>
        <w:t>6</w:t>
      </w:r>
      <w:r w:rsidR="00271168">
        <w:rPr>
          <w:rFonts w:ascii="Century Gothic" w:hAnsi="Century Gothic"/>
        </w:rPr>
        <w:t>.</w:t>
      </w:r>
    </w:p>
    <w:p w14:paraId="659BE2B4" w14:textId="77777777" w:rsidR="00271168" w:rsidRPr="00562B9A" w:rsidRDefault="00271168" w:rsidP="00271168">
      <w:pPr>
        <w:spacing w:line="240" w:lineRule="auto"/>
        <w:rPr>
          <w:rFonts w:ascii="Century Gothic" w:hAnsi="Century Gothic"/>
          <w:u w:val="single"/>
        </w:rPr>
      </w:pPr>
      <w:r w:rsidRPr="00271168">
        <w:rPr>
          <w:rFonts w:ascii="Century Gothic" w:hAnsi="Century Gothic"/>
        </w:rPr>
        <w:t>Performance improvement</w:t>
      </w:r>
      <w:r w:rsidR="00D3174C">
        <w:rPr>
          <w:rFonts w:ascii="Century Gothic" w:hAnsi="Century Gothic"/>
        </w:rPr>
        <w:t xml:space="preserve"> may also </w:t>
      </w:r>
      <w:r w:rsidRPr="00271168">
        <w:rPr>
          <w:rFonts w:ascii="Century Gothic" w:hAnsi="Century Gothic"/>
        </w:rPr>
        <w:t xml:space="preserve">include sustaining high improvement or scores that exceed national benchmarks. On the project report, please provide insight into work done during the course of the year to ensure high performance. </w:t>
      </w:r>
      <w:r w:rsidR="00562B9A">
        <w:rPr>
          <w:rFonts w:ascii="Century Gothic" w:hAnsi="Century Gothic"/>
        </w:rPr>
        <w:t xml:space="preserve">Participation in </w:t>
      </w:r>
      <w:r w:rsidR="00562B9A" w:rsidRPr="00562B9A">
        <w:rPr>
          <w:rFonts w:ascii="Century Gothic" w:hAnsi="Century Gothic"/>
          <w:u w:val="single"/>
        </w:rPr>
        <w:t xml:space="preserve">Finance and Operations Improvement Projects, the QI Fellowship and the RHC Improvement Projects will meet the requirements of criteria 1. </w:t>
      </w:r>
    </w:p>
    <w:tbl>
      <w:tblPr>
        <w:tblStyle w:val="GridTable1Light-Accent1"/>
        <w:tblW w:w="10502" w:type="dxa"/>
        <w:tblLook w:val="04A0" w:firstRow="1" w:lastRow="0" w:firstColumn="1" w:lastColumn="0" w:noHBand="0" w:noVBand="1"/>
      </w:tblPr>
      <w:tblGrid>
        <w:gridCol w:w="5251"/>
        <w:gridCol w:w="5251"/>
      </w:tblGrid>
      <w:tr w:rsidR="006A5129" w14:paraId="1287CC8D" w14:textId="77777777" w:rsidTr="006A5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1" w:type="dxa"/>
          </w:tcPr>
          <w:p w14:paraId="2854F746" w14:textId="77777777" w:rsidR="006A5129" w:rsidRPr="00C961DB" w:rsidRDefault="006A5129" w:rsidP="006A5129">
            <w:pPr>
              <w:rPr>
                <w:rFonts w:ascii="Century Gothic" w:hAnsi="Century Gothic"/>
              </w:rPr>
            </w:pPr>
            <w:r>
              <w:rPr>
                <w:rFonts w:ascii="Century Gothic" w:hAnsi="Century Gothic"/>
              </w:rPr>
              <w:t xml:space="preserve">Required MQBIP Measures </w:t>
            </w:r>
          </w:p>
        </w:tc>
        <w:tc>
          <w:tcPr>
            <w:tcW w:w="5251" w:type="dxa"/>
          </w:tcPr>
          <w:p w14:paraId="5E9EF0C6" w14:textId="77777777" w:rsidR="006A5129" w:rsidRPr="00562B9A" w:rsidRDefault="006A5129" w:rsidP="006A5129">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562B9A">
              <w:rPr>
                <w:rFonts w:ascii="Century Gothic" w:hAnsi="Century Gothic"/>
              </w:rPr>
              <w:t>Improvement Projects</w:t>
            </w:r>
          </w:p>
        </w:tc>
      </w:tr>
      <w:tr w:rsidR="006A5129" w14:paraId="30D3EE2A" w14:textId="77777777" w:rsidTr="006A5129">
        <w:tc>
          <w:tcPr>
            <w:cnfStyle w:val="001000000000" w:firstRow="0" w:lastRow="0" w:firstColumn="1" w:lastColumn="0" w:oddVBand="0" w:evenVBand="0" w:oddHBand="0" w:evenHBand="0" w:firstRowFirstColumn="0" w:firstRowLastColumn="0" w:lastRowFirstColumn="0" w:lastRowLastColumn="0"/>
            <w:tcW w:w="5251" w:type="dxa"/>
          </w:tcPr>
          <w:p w14:paraId="7EBEF0EB" w14:textId="77777777" w:rsidR="006A5129" w:rsidRPr="00F4649E" w:rsidRDefault="006A5129" w:rsidP="006A5129">
            <w:pPr>
              <w:rPr>
                <w:rFonts w:ascii="Century Gothic" w:hAnsi="Century Gothic"/>
                <w:b w:val="0"/>
              </w:rPr>
            </w:pPr>
            <w:r w:rsidRPr="00F4649E">
              <w:rPr>
                <w:rFonts w:ascii="Century Gothic" w:hAnsi="Century Gothic"/>
                <w:b w:val="0"/>
              </w:rPr>
              <w:t>Outpatient ED Throughput (OP-18)</w:t>
            </w:r>
          </w:p>
        </w:tc>
        <w:tc>
          <w:tcPr>
            <w:tcW w:w="5251" w:type="dxa"/>
          </w:tcPr>
          <w:p w14:paraId="7E2D744F" w14:textId="77777777" w:rsidR="006A5129" w:rsidRPr="006A5129" w:rsidRDefault="006A5129" w:rsidP="006A5129">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6A5129">
              <w:rPr>
                <w:rFonts w:ascii="Century Gothic" w:hAnsi="Century Gothic"/>
              </w:rPr>
              <w:t>QI Fellowship</w:t>
            </w:r>
          </w:p>
        </w:tc>
      </w:tr>
      <w:tr w:rsidR="006A5129" w14:paraId="4453C188" w14:textId="77777777" w:rsidTr="006A5129">
        <w:tc>
          <w:tcPr>
            <w:cnfStyle w:val="001000000000" w:firstRow="0" w:lastRow="0" w:firstColumn="1" w:lastColumn="0" w:oddVBand="0" w:evenVBand="0" w:oddHBand="0" w:evenHBand="0" w:firstRowFirstColumn="0" w:firstRowLastColumn="0" w:lastRowFirstColumn="0" w:lastRowLastColumn="0"/>
            <w:tcW w:w="5251" w:type="dxa"/>
          </w:tcPr>
          <w:p w14:paraId="4D6497A6" w14:textId="77777777" w:rsidR="006A5129" w:rsidRPr="00F4649E" w:rsidRDefault="006A5129" w:rsidP="006A5129">
            <w:pPr>
              <w:rPr>
                <w:rFonts w:ascii="Century Gothic" w:hAnsi="Century Gothic"/>
                <w:b w:val="0"/>
              </w:rPr>
            </w:pPr>
            <w:r w:rsidRPr="00F4649E">
              <w:rPr>
                <w:rFonts w:ascii="Century Gothic" w:hAnsi="Century Gothic"/>
                <w:b w:val="0"/>
              </w:rPr>
              <w:t>Emergency Department Transfer Communications (EDTC)</w:t>
            </w:r>
          </w:p>
        </w:tc>
        <w:tc>
          <w:tcPr>
            <w:tcW w:w="5251" w:type="dxa"/>
          </w:tcPr>
          <w:p w14:paraId="271AA5B4" w14:textId="77777777" w:rsidR="006A5129" w:rsidRPr="006A5129" w:rsidRDefault="006A5129" w:rsidP="006A5129">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6A5129">
              <w:rPr>
                <w:rFonts w:ascii="Century Gothic" w:hAnsi="Century Gothic"/>
              </w:rPr>
              <w:t>Finance &amp; Operational Improvement Project</w:t>
            </w:r>
          </w:p>
        </w:tc>
      </w:tr>
      <w:tr w:rsidR="006A5129" w14:paraId="2703E174" w14:textId="77777777" w:rsidTr="006A5129">
        <w:tc>
          <w:tcPr>
            <w:cnfStyle w:val="001000000000" w:firstRow="0" w:lastRow="0" w:firstColumn="1" w:lastColumn="0" w:oddVBand="0" w:evenVBand="0" w:oddHBand="0" w:evenHBand="0" w:firstRowFirstColumn="0" w:firstRowLastColumn="0" w:lastRowFirstColumn="0" w:lastRowLastColumn="0"/>
            <w:tcW w:w="5251" w:type="dxa"/>
          </w:tcPr>
          <w:p w14:paraId="5C3461C3" w14:textId="77777777" w:rsidR="006A5129" w:rsidRPr="00F4649E" w:rsidRDefault="006A5129" w:rsidP="006A5129">
            <w:pPr>
              <w:rPr>
                <w:rFonts w:ascii="Century Gothic" w:hAnsi="Century Gothic"/>
                <w:b w:val="0"/>
              </w:rPr>
            </w:pPr>
            <w:r>
              <w:rPr>
                <w:rFonts w:ascii="Century Gothic" w:hAnsi="Century Gothic"/>
                <w:b w:val="0"/>
              </w:rPr>
              <w:t>Hybrid House Wide Readmissions</w:t>
            </w:r>
          </w:p>
        </w:tc>
        <w:tc>
          <w:tcPr>
            <w:tcW w:w="5251" w:type="dxa"/>
          </w:tcPr>
          <w:p w14:paraId="60974A22" w14:textId="77777777" w:rsidR="006A5129" w:rsidRPr="006A5129" w:rsidRDefault="006A5129" w:rsidP="006A5129">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6A5129">
              <w:rPr>
                <w:rFonts w:ascii="Century Gothic" w:hAnsi="Century Gothic"/>
              </w:rPr>
              <w:t xml:space="preserve">RHC Improvement Activities </w:t>
            </w:r>
          </w:p>
        </w:tc>
      </w:tr>
      <w:tr w:rsidR="006A5129" w14:paraId="0F2D1C73" w14:textId="77777777" w:rsidTr="006A5129">
        <w:tc>
          <w:tcPr>
            <w:cnfStyle w:val="001000000000" w:firstRow="0" w:lastRow="0" w:firstColumn="1" w:lastColumn="0" w:oddVBand="0" w:evenVBand="0" w:oddHBand="0" w:evenHBand="0" w:firstRowFirstColumn="0" w:firstRowLastColumn="0" w:lastRowFirstColumn="0" w:lastRowLastColumn="0"/>
            <w:tcW w:w="5251" w:type="dxa"/>
          </w:tcPr>
          <w:p w14:paraId="5AECF695" w14:textId="77777777" w:rsidR="006A5129" w:rsidRPr="00F4649E" w:rsidRDefault="006A5129" w:rsidP="006A5129">
            <w:pPr>
              <w:rPr>
                <w:rFonts w:ascii="Century Gothic" w:hAnsi="Century Gothic"/>
                <w:b w:val="0"/>
              </w:rPr>
            </w:pPr>
            <w:r>
              <w:rPr>
                <w:rFonts w:ascii="Century Gothic" w:hAnsi="Century Gothic"/>
                <w:b w:val="0"/>
              </w:rPr>
              <w:t>HCAHPS</w:t>
            </w:r>
          </w:p>
        </w:tc>
        <w:tc>
          <w:tcPr>
            <w:tcW w:w="5251" w:type="dxa"/>
          </w:tcPr>
          <w:p w14:paraId="4FBC8AFE" w14:textId="77777777" w:rsidR="006A5129" w:rsidRDefault="006A5129" w:rsidP="006A5129">
            <w:pPr>
              <w:cnfStyle w:val="000000000000" w:firstRow="0" w:lastRow="0" w:firstColumn="0" w:lastColumn="0" w:oddVBand="0" w:evenVBand="0" w:oddHBand="0" w:evenHBand="0" w:firstRowFirstColumn="0" w:firstRowLastColumn="0" w:lastRowFirstColumn="0" w:lastRowLastColumn="0"/>
              <w:rPr>
                <w:rFonts w:ascii="Century Gothic" w:hAnsi="Century Gothic"/>
                <w:b/>
              </w:rPr>
            </w:pPr>
          </w:p>
        </w:tc>
      </w:tr>
      <w:tr w:rsidR="006A5129" w14:paraId="7A686C5E" w14:textId="77777777" w:rsidTr="006A5129">
        <w:trPr>
          <w:trHeight w:val="70"/>
        </w:trPr>
        <w:tc>
          <w:tcPr>
            <w:cnfStyle w:val="001000000000" w:firstRow="0" w:lastRow="0" w:firstColumn="1" w:lastColumn="0" w:oddVBand="0" w:evenVBand="0" w:oddHBand="0" w:evenHBand="0" w:firstRowFirstColumn="0" w:firstRowLastColumn="0" w:lastRowFirstColumn="0" w:lastRowLastColumn="0"/>
            <w:tcW w:w="5251" w:type="dxa"/>
          </w:tcPr>
          <w:p w14:paraId="50A92A03" w14:textId="77777777" w:rsidR="006A5129" w:rsidRPr="00562B9A" w:rsidRDefault="006A5129" w:rsidP="006A5129">
            <w:pPr>
              <w:rPr>
                <w:rFonts w:ascii="Century Gothic" w:hAnsi="Century Gothic"/>
                <w:b w:val="0"/>
              </w:rPr>
            </w:pPr>
            <w:r>
              <w:rPr>
                <w:rFonts w:ascii="Century Gothic" w:hAnsi="Century Gothic"/>
                <w:b w:val="0"/>
              </w:rPr>
              <w:t>Left Without Being Seen (OP-22)</w:t>
            </w:r>
          </w:p>
        </w:tc>
        <w:tc>
          <w:tcPr>
            <w:tcW w:w="5251" w:type="dxa"/>
          </w:tcPr>
          <w:p w14:paraId="04BDA4D0" w14:textId="77777777" w:rsidR="006A5129" w:rsidRPr="006A5129" w:rsidRDefault="006A5129" w:rsidP="006A5129">
            <w:pPr>
              <w:cnfStyle w:val="000000000000" w:firstRow="0" w:lastRow="0" w:firstColumn="0" w:lastColumn="0" w:oddVBand="0" w:evenVBand="0" w:oddHBand="0" w:evenHBand="0" w:firstRowFirstColumn="0" w:firstRowLastColumn="0" w:lastRowFirstColumn="0" w:lastRowLastColumn="0"/>
              <w:rPr>
                <w:rFonts w:ascii="Century Gothic" w:hAnsi="Century Gothic"/>
                <w:b/>
              </w:rPr>
            </w:pPr>
            <w:r w:rsidRPr="006A5129">
              <w:rPr>
                <w:rFonts w:ascii="Century Gothic" w:hAnsi="Century Gothic"/>
                <w:b/>
              </w:rPr>
              <w:t>Optional Program Area</w:t>
            </w:r>
          </w:p>
        </w:tc>
      </w:tr>
      <w:tr w:rsidR="006A5129" w14:paraId="77D0489E" w14:textId="77777777" w:rsidTr="006A5129">
        <w:tc>
          <w:tcPr>
            <w:cnfStyle w:val="001000000000" w:firstRow="0" w:lastRow="0" w:firstColumn="1" w:lastColumn="0" w:oddVBand="0" w:evenVBand="0" w:oddHBand="0" w:evenHBand="0" w:firstRowFirstColumn="0" w:firstRowLastColumn="0" w:lastRowFirstColumn="0" w:lastRowLastColumn="0"/>
            <w:tcW w:w="5251" w:type="dxa"/>
          </w:tcPr>
          <w:p w14:paraId="131243D1" w14:textId="77777777" w:rsidR="006A5129" w:rsidRPr="00562B9A" w:rsidRDefault="006A5129" w:rsidP="006A5129">
            <w:pPr>
              <w:rPr>
                <w:rFonts w:ascii="Century Gothic" w:hAnsi="Century Gothic"/>
                <w:b w:val="0"/>
              </w:rPr>
            </w:pPr>
            <w:r>
              <w:rPr>
                <w:rFonts w:ascii="Century Gothic" w:hAnsi="Century Gothic"/>
                <w:b w:val="0"/>
              </w:rPr>
              <w:t>Safe Use of Opioids</w:t>
            </w:r>
          </w:p>
        </w:tc>
        <w:tc>
          <w:tcPr>
            <w:tcW w:w="5251" w:type="dxa"/>
          </w:tcPr>
          <w:p w14:paraId="3EC07188" w14:textId="77777777" w:rsidR="006A5129" w:rsidRPr="006A5129" w:rsidRDefault="006A5129" w:rsidP="006A5129">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6A5129">
              <w:rPr>
                <w:rFonts w:ascii="Century Gothic" w:hAnsi="Century Gothic"/>
              </w:rPr>
              <w:t>Population Health</w:t>
            </w:r>
          </w:p>
        </w:tc>
      </w:tr>
      <w:tr w:rsidR="006A5129" w14:paraId="761D4DB6" w14:textId="77777777" w:rsidTr="006A5129">
        <w:tc>
          <w:tcPr>
            <w:cnfStyle w:val="001000000000" w:firstRow="0" w:lastRow="0" w:firstColumn="1" w:lastColumn="0" w:oddVBand="0" w:evenVBand="0" w:oddHBand="0" w:evenHBand="0" w:firstRowFirstColumn="0" w:firstRowLastColumn="0" w:lastRowFirstColumn="0" w:lastRowLastColumn="0"/>
            <w:tcW w:w="5251" w:type="dxa"/>
          </w:tcPr>
          <w:p w14:paraId="0C7EC9EA" w14:textId="77777777" w:rsidR="006A5129" w:rsidRPr="00562B9A" w:rsidRDefault="006A5129" w:rsidP="006A5129">
            <w:pPr>
              <w:rPr>
                <w:rFonts w:ascii="Century Gothic" w:hAnsi="Century Gothic"/>
                <w:b w:val="0"/>
              </w:rPr>
            </w:pPr>
            <w:r>
              <w:rPr>
                <w:rFonts w:ascii="Century Gothic" w:hAnsi="Century Gothic"/>
                <w:b w:val="0"/>
              </w:rPr>
              <w:t>Healthcare Worker Immunizations (Flu)</w:t>
            </w:r>
          </w:p>
        </w:tc>
        <w:tc>
          <w:tcPr>
            <w:tcW w:w="5251" w:type="dxa"/>
          </w:tcPr>
          <w:p w14:paraId="7714DADD" w14:textId="77777777" w:rsidR="006A5129" w:rsidRDefault="006A5129" w:rsidP="006A5129">
            <w:pPr>
              <w:cnfStyle w:val="000000000000" w:firstRow="0" w:lastRow="0" w:firstColumn="0" w:lastColumn="0" w:oddVBand="0" w:evenVBand="0" w:oddHBand="0" w:evenHBand="0" w:firstRowFirstColumn="0" w:firstRowLastColumn="0" w:lastRowFirstColumn="0" w:lastRowLastColumn="0"/>
              <w:rPr>
                <w:rFonts w:ascii="Century Gothic" w:hAnsi="Century Gothic"/>
                <w:b/>
              </w:rPr>
            </w:pPr>
          </w:p>
        </w:tc>
      </w:tr>
      <w:tr w:rsidR="006A5129" w14:paraId="21309232" w14:textId="77777777" w:rsidTr="006A5129">
        <w:tc>
          <w:tcPr>
            <w:cnfStyle w:val="001000000000" w:firstRow="0" w:lastRow="0" w:firstColumn="1" w:lastColumn="0" w:oddVBand="0" w:evenVBand="0" w:oddHBand="0" w:evenHBand="0" w:firstRowFirstColumn="0" w:firstRowLastColumn="0" w:lastRowFirstColumn="0" w:lastRowLastColumn="0"/>
            <w:tcW w:w="5251" w:type="dxa"/>
          </w:tcPr>
          <w:p w14:paraId="5D3B4204" w14:textId="77777777" w:rsidR="006A5129" w:rsidRDefault="006A5129" w:rsidP="006A5129">
            <w:pPr>
              <w:rPr>
                <w:rFonts w:ascii="Century Gothic" w:hAnsi="Century Gothic"/>
                <w:b w:val="0"/>
              </w:rPr>
            </w:pPr>
            <w:r>
              <w:rPr>
                <w:rFonts w:ascii="Century Gothic" w:hAnsi="Century Gothic"/>
                <w:b w:val="0"/>
              </w:rPr>
              <w:t>Antibiotic Stewardship (ABS Annual Survey)</w:t>
            </w:r>
          </w:p>
        </w:tc>
        <w:tc>
          <w:tcPr>
            <w:tcW w:w="5251" w:type="dxa"/>
          </w:tcPr>
          <w:p w14:paraId="456079E1" w14:textId="77777777" w:rsidR="006A5129" w:rsidRDefault="006A5129" w:rsidP="006A5129">
            <w:pPr>
              <w:cnfStyle w:val="000000000000" w:firstRow="0" w:lastRow="0" w:firstColumn="0" w:lastColumn="0" w:oddVBand="0" w:evenVBand="0" w:oddHBand="0" w:evenHBand="0" w:firstRowFirstColumn="0" w:firstRowLastColumn="0" w:lastRowFirstColumn="0" w:lastRowLastColumn="0"/>
              <w:rPr>
                <w:rFonts w:ascii="Century Gothic" w:hAnsi="Century Gothic"/>
                <w:b/>
              </w:rPr>
            </w:pPr>
          </w:p>
        </w:tc>
      </w:tr>
      <w:tr w:rsidR="006A5129" w14:paraId="40740BEB" w14:textId="77777777" w:rsidTr="006A5129">
        <w:tc>
          <w:tcPr>
            <w:cnfStyle w:val="001000000000" w:firstRow="0" w:lastRow="0" w:firstColumn="1" w:lastColumn="0" w:oddVBand="0" w:evenVBand="0" w:oddHBand="0" w:evenHBand="0" w:firstRowFirstColumn="0" w:firstRowLastColumn="0" w:lastRowFirstColumn="0" w:lastRowLastColumn="0"/>
            <w:tcW w:w="5251" w:type="dxa"/>
          </w:tcPr>
          <w:p w14:paraId="5F653964" w14:textId="77777777" w:rsidR="006A5129" w:rsidRDefault="006A5129" w:rsidP="006A5129">
            <w:pPr>
              <w:rPr>
                <w:rFonts w:ascii="Century Gothic" w:hAnsi="Century Gothic"/>
                <w:b w:val="0"/>
              </w:rPr>
            </w:pPr>
            <w:r>
              <w:rPr>
                <w:rFonts w:ascii="Century Gothic" w:hAnsi="Century Gothic"/>
                <w:b w:val="0"/>
              </w:rPr>
              <w:t xml:space="preserve">CAH Quality Assessment </w:t>
            </w:r>
          </w:p>
        </w:tc>
        <w:tc>
          <w:tcPr>
            <w:tcW w:w="5251" w:type="dxa"/>
          </w:tcPr>
          <w:p w14:paraId="49579821" w14:textId="77777777" w:rsidR="006A5129" w:rsidRDefault="006A5129" w:rsidP="006A5129">
            <w:pPr>
              <w:cnfStyle w:val="000000000000" w:firstRow="0" w:lastRow="0" w:firstColumn="0" w:lastColumn="0" w:oddVBand="0" w:evenVBand="0" w:oddHBand="0" w:evenHBand="0" w:firstRowFirstColumn="0" w:firstRowLastColumn="0" w:lastRowFirstColumn="0" w:lastRowLastColumn="0"/>
              <w:rPr>
                <w:rFonts w:ascii="Century Gothic" w:hAnsi="Century Gothic"/>
                <w:b/>
              </w:rPr>
            </w:pPr>
          </w:p>
        </w:tc>
      </w:tr>
    </w:tbl>
    <w:p w14:paraId="3EFA1FB8" w14:textId="77777777" w:rsidR="00120083" w:rsidRDefault="00120083" w:rsidP="008056A7">
      <w:pPr>
        <w:spacing w:after="0" w:line="240" w:lineRule="auto"/>
        <w:ind w:left="720"/>
        <w:rPr>
          <w:rFonts w:ascii="Century Gothic" w:hAnsi="Century Gothic"/>
        </w:rPr>
      </w:pPr>
    </w:p>
    <w:p w14:paraId="1C9FBE85" w14:textId="77777777" w:rsidR="00B82E04" w:rsidRDefault="00B82E04" w:rsidP="00A41239">
      <w:pPr>
        <w:spacing w:line="240" w:lineRule="auto"/>
        <w:rPr>
          <w:rFonts w:ascii="Century Gothic" w:hAnsi="Century Gothic"/>
          <w:b/>
          <w:color w:val="FFFFFF" w:themeColor="background1"/>
          <w:highlight w:val="darkBlue"/>
        </w:rPr>
      </w:pPr>
    </w:p>
    <w:p w14:paraId="375CC4A4" w14:textId="77777777" w:rsidR="0045794B" w:rsidRPr="00A41239" w:rsidRDefault="0045794B" w:rsidP="00A41239">
      <w:pPr>
        <w:spacing w:line="240" w:lineRule="auto"/>
        <w:rPr>
          <w:rFonts w:ascii="Century Gothic" w:hAnsi="Century Gothic"/>
          <w:b/>
          <w:color w:val="FFFFFF" w:themeColor="background1"/>
        </w:rPr>
      </w:pPr>
      <w:r w:rsidRPr="00A41239">
        <w:rPr>
          <w:rFonts w:ascii="Century Gothic" w:hAnsi="Century Gothic"/>
          <w:b/>
          <w:color w:val="FFFFFF" w:themeColor="background1"/>
          <w:highlight w:val="darkBlue"/>
        </w:rPr>
        <w:t>CRITERIA #2: COMPLETE AND CONSISTENT DATA REPORTING</w:t>
      </w:r>
      <w:r w:rsidRPr="00A41239">
        <w:rPr>
          <w:rFonts w:ascii="Century Gothic" w:hAnsi="Century Gothic"/>
          <w:b/>
          <w:color w:val="FFFFFF" w:themeColor="background1"/>
        </w:rPr>
        <w:tab/>
      </w:r>
    </w:p>
    <w:p w14:paraId="7CF096A0" w14:textId="77777777" w:rsidR="005E6912" w:rsidRDefault="0045794B" w:rsidP="00CD75C4">
      <w:pPr>
        <w:spacing w:line="240" w:lineRule="auto"/>
        <w:rPr>
          <w:rFonts w:ascii="Century Gothic" w:hAnsi="Century Gothic"/>
        </w:rPr>
      </w:pPr>
      <w:r w:rsidRPr="00B81B94">
        <w:rPr>
          <w:rFonts w:ascii="Century Gothic" w:hAnsi="Century Gothic"/>
        </w:rPr>
        <w:t xml:space="preserve">Meet data reporting requirements </w:t>
      </w:r>
      <w:r w:rsidR="00B81B94">
        <w:rPr>
          <w:rFonts w:ascii="Century Gothic" w:hAnsi="Century Gothic"/>
        </w:rPr>
        <w:t xml:space="preserve">of the MBQIP measure set. </w:t>
      </w:r>
    </w:p>
    <w:tbl>
      <w:tblPr>
        <w:tblStyle w:val="TableGrid"/>
        <w:tblW w:w="0" w:type="auto"/>
        <w:tblLook w:val="04A0" w:firstRow="1" w:lastRow="0" w:firstColumn="1" w:lastColumn="0" w:noHBand="0" w:noVBand="1"/>
      </w:tblPr>
      <w:tblGrid>
        <w:gridCol w:w="3116"/>
        <w:gridCol w:w="3117"/>
        <w:gridCol w:w="3117"/>
      </w:tblGrid>
      <w:tr w:rsidR="00423A4D" w14:paraId="7EADD2B2" w14:textId="77777777" w:rsidTr="00B00935">
        <w:tc>
          <w:tcPr>
            <w:tcW w:w="3116" w:type="dxa"/>
          </w:tcPr>
          <w:p w14:paraId="34CF6A2B" w14:textId="77777777" w:rsidR="00423A4D" w:rsidRPr="002F768A" w:rsidRDefault="00423A4D" w:rsidP="00B00935">
            <w:pPr>
              <w:rPr>
                <w:rFonts w:ascii="Century Gothic" w:hAnsi="Century Gothic"/>
                <w:b/>
              </w:rPr>
            </w:pPr>
            <w:r w:rsidRPr="002F768A">
              <w:rPr>
                <w:rFonts w:ascii="Century Gothic" w:hAnsi="Century Gothic"/>
                <w:b/>
              </w:rPr>
              <w:t>Measure</w:t>
            </w:r>
          </w:p>
        </w:tc>
        <w:tc>
          <w:tcPr>
            <w:tcW w:w="3117" w:type="dxa"/>
          </w:tcPr>
          <w:p w14:paraId="1428B8C8" w14:textId="77777777" w:rsidR="00423A4D" w:rsidRPr="002F768A" w:rsidRDefault="00423A4D" w:rsidP="00B00935">
            <w:pPr>
              <w:rPr>
                <w:rFonts w:ascii="Century Gothic" w:hAnsi="Century Gothic"/>
                <w:b/>
              </w:rPr>
            </w:pPr>
            <w:r w:rsidRPr="002F768A">
              <w:rPr>
                <w:rFonts w:ascii="Century Gothic" w:hAnsi="Century Gothic"/>
                <w:b/>
              </w:rPr>
              <w:t>Quarters to Report</w:t>
            </w:r>
          </w:p>
        </w:tc>
        <w:tc>
          <w:tcPr>
            <w:tcW w:w="3117" w:type="dxa"/>
          </w:tcPr>
          <w:p w14:paraId="79459D3B" w14:textId="77777777" w:rsidR="00423A4D" w:rsidRPr="002F768A" w:rsidRDefault="00423A4D" w:rsidP="00B00935">
            <w:pPr>
              <w:rPr>
                <w:rFonts w:ascii="Century Gothic" w:hAnsi="Century Gothic"/>
                <w:b/>
              </w:rPr>
            </w:pPr>
            <w:r w:rsidRPr="002F768A">
              <w:rPr>
                <w:rFonts w:ascii="Century Gothic" w:hAnsi="Century Gothic"/>
                <w:b/>
              </w:rPr>
              <w:t>Due Dates</w:t>
            </w:r>
          </w:p>
        </w:tc>
      </w:tr>
      <w:tr w:rsidR="00423A4D" w14:paraId="5043681A" w14:textId="77777777" w:rsidTr="00B00935">
        <w:tc>
          <w:tcPr>
            <w:tcW w:w="3116" w:type="dxa"/>
          </w:tcPr>
          <w:p w14:paraId="6D78F704" w14:textId="77777777" w:rsidR="00423A4D" w:rsidRPr="00B01175" w:rsidRDefault="002F768A" w:rsidP="00B00935">
            <w:pPr>
              <w:rPr>
                <w:rFonts w:ascii="Century Gothic" w:hAnsi="Century Gothic"/>
              </w:rPr>
            </w:pPr>
            <w:r>
              <w:rPr>
                <w:rFonts w:ascii="Century Gothic" w:hAnsi="Century Gothic"/>
              </w:rPr>
              <w:t>OP-18</w:t>
            </w:r>
          </w:p>
        </w:tc>
        <w:tc>
          <w:tcPr>
            <w:tcW w:w="3117" w:type="dxa"/>
          </w:tcPr>
          <w:p w14:paraId="54A93423" w14:textId="77777777" w:rsidR="00423A4D" w:rsidRPr="00B01175" w:rsidRDefault="002F768A" w:rsidP="00B00935">
            <w:pPr>
              <w:rPr>
                <w:rFonts w:ascii="Century Gothic" w:hAnsi="Century Gothic"/>
              </w:rPr>
            </w:pPr>
            <w:r>
              <w:rPr>
                <w:rFonts w:ascii="Century Gothic" w:hAnsi="Century Gothic"/>
              </w:rPr>
              <w:t>2Q 2025, 3Q 2025, 4Q 2025</w:t>
            </w:r>
          </w:p>
        </w:tc>
        <w:tc>
          <w:tcPr>
            <w:tcW w:w="3117" w:type="dxa"/>
          </w:tcPr>
          <w:p w14:paraId="7A41FAE7" w14:textId="77777777" w:rsidR="00423A4D" w:rsidRPr="00B01175" w:rsidRDefault="002F768A" w:rsidP="00B00935">
            <w:pPr>
              <w:rPr>
                <w:rFonts w:ascii="Century Gothic" w:hAnsi="Century Gothic"/>
              </w:rPr>
            </w:pPr>
            <w:r>
              <w:rPr>
                <w:rFonts w:ascii="Century Gothic" w:hAnsi="Century Gothic"/>
              </w:rPr>
              <w:t>Nov. 3, 2025, Feb. 2, 2026, May 1, 2026</w:t>
            </w:r>
          </w:p>
        </w:tc>
      </w:tr>
      <w:tr w:rsidR="00423A4D" w14:paraId="7FA54C85" w14:textId="77777777" w:rsidTr="00B00935">
        <w:tc>
          <w:tcPr>
            <w:tcW w:w="3116" w:type="dxa"/>
          </w:tcPr>
          <w:p w14:paraId="44FD94C5" w14:textId="77777777" w:rsidR="00423A4D" w:rsidRPr="00B01175" w:rsidRDefault="002F768A" w:rsidP="00B00935">
            <w:pPr>
              <w:rPr>
                <w:rFonts w:ascii="Century Gothic" w:hAnsi="Century Gothic"/>
              </w:rPr>
            </w:pPr>
            <w:r>
              <w:rPr>
                <w:rFonts w:ascii="Century Gothic" w:hAnsi="Century Gothic"/>
              </w:rPr>
              <w:t>EDTC</w:t>
            </w:r>
          </w:p>
        </w:tc>
        <w:tc>
          <w:tcPr>
            <w:tcW w:w="3117" w:type="dxa"/>
          </w:tcPr>
          <w:p w14:paraId="4F4135E9" w14:textId="77777777" w:rsidR="00423A4D" w:rsidRPr="00B01175" w:rsidRDefault="002F768A" w:rsidP="00B00935">
            <w:pPr>
              <w:rPr>
                <w:rFonts w:ascii="Century Gothic" w:hAnsi="Century Gothic"/>
              </w:rPr>
            </w:pPr>
            <w:r>
              <w:rPr>
                <w:rFonts w:ascii="Century Gothic" w:hAnsi="Century Gothic"/>
              </w:rPr>
              <w:t>3Q 2025, 4Q2025, 1Q 2026</w:t>
            </w:r>
          </w:p>
        </w:tc>
        <w:tc>
          <w:tcPr>
            <w:tcW w:w="3117" w:type="dxa"/>
          </w:tcPr>
          <w:p w14:paraId="13BE1E83" w14:textId="77777777" w:rsidR="00423A4D" w:rsidRPr="00B01175" w:rsidRDefault="002F768A" w:rsidP="00B00935">
            <w:pPr>
              <w:rPr>
                <w:rFonts w:ascii="Century Gothic" w:hAnsi="Century Gothic"/>
              </w:rPr>
            </w:pPr>
            <w:r>
              <w:rPr>
                <w:rFonts w:ascii="Century Gothic" w:hAnsi="Century Gothic"/>
              </w:rPr>
              <w:t>Nov. 3 2025, Feb 2. 2026, May 1. 2026</w:t>
            </w:r>
          </w:p>
        </w:tc>
      </w:tr>
      <w:tr w:rsidR="00423A4D" w14:paraId="4A47CD71" w14:textId="77777777" w:rsidTr="00B00935">
        <w:tc>
          <w:tcPr>
            <w:tcW w:w="3116" w:type="dxa"/>
          </w:tcPr>
          <w:p w14:paraId="03758EB8" w14:textId="77777777" w:rsidR="00423A4D" w:rsidRPr="00B01175" w:rsidRDefault="002F768A" w:rsidP="00B00935">
            <w:pPr>
              <w:rPr>
                <w:rFonts w:ascii="Century Gothic" w:hAnsi="Century Gothic"/>
              </w:rPr>
            </w:pPr>
            <w:r>
              <w:rPr>
                <w:rFonts w:ascii="Century Gothic" w:hAnsi="Century Gothic"/>
              </w:rPr>
              <w:t>HCAHPS</w:t>
            </w:r>
          </w:p>
        </w:tc>
        <w:tc>
          <w:tcPr>
            <w:tcW w:w="3117" w:type="dxa"/>
          </w:tcPr>
          <w:p w14:paraId="4FF0DAD2" w14:textId="77777777" w:rsidR="00423A4D" w:rsidRPr="00B01175" w:rsidRDefault="002F768A" w:rsidP="00B00935">
            <w:pPr>
              <w:rPr>
                <w:rFonts w:ascii="Century Gothic" w:hAnsi="Century Gothic"/>
              </w:rPr>
            </w:pPr>
            <w:r>
              <w:rPr>
                <w:rFonts w:ascii="Century Gothic" w:hAnsi="Century Gothic"/>
              </w:rPr>
              <w:t>3Q2025, 4Q 2025</w:t>
            </w:r>
          </w:p>
        </w:tc>
        <w:tc>
          <w:tcPr>
            <w:tcW w:w="3117" w:type="dxa"/>
          </w:tcPr>
          <w:p w14:paraId="66078A0C" w14:textId="77777777" w:rsidR="00423A4D" w:rsidRPr="00B01175" w:rsidRDefault="002F768A" w:rsidP="00B00935">
            <w:pPr>
              <w:rPr>
                <w:rFonts w:ascii="Century Gothic" w:hAnsi="Century Gothic"/>
              </w:rPr>
            </w:pPr>
            <w:r>
              <w:rPr>
                <w:rFonts w:ascii="Century Gothic" w:hAnsi="Century Gothic"/>
              </w:rPr>
              <w:t>Jan 14, 2026, Apr. 8, 2026</w:t>
            </w:r>
          </w:p>
        </w:tc>
      </w:tr>
      <w:tr w:rsidR="00423A4D" w14:paraId="5E56292A" w14:textId="77777777" w:rsidTr="00B00935">
        <w:tc>
          <w:tcPr>
            <w:tcW w:w="3116" w:type="dxa"/>
          </w:tcPr>
          <w:p w14:paraId="3FA15526" w14:textId="77777777" w:rsidR="00423A4D" w:rsidRPr="00B01175" w:rsidRDefault="002F768A" w:rsidP="00B00935">
            <w:pPr>
              <w:rPr>
                <w:rFonts w:ascii="Century Gothic" w:hAnsi="Century Gothic"/>
              </w:rPr>
            </w:pPr>
            <w:r>
              <w:rPr>
                <w:rFonts w:ascii="Century Gothic" w:hAnsi="Century Gothic"/>
              </w:rPr>
              <w:t>ABS Annual Survey</w:t>
            </w:r>
          </w:p>
        </w:tc>
        <w:tc>
          <w:tcPr>
            <w:tcW w:w="3117" w:type="dxa"/>
          </w:tcPr>
          <w:p w14:paraId="2B4C5844" w14:textId="77777777" w:rsidR="00423A4D" w:rsidRPr="00B01175" w:rsidRDefault="002F768A" w:rsidP="00B00935">
            <w:pPr>
              <w:rPr>
                <w:rFonts w:ascii="Century Gothic" w:hAnsi="Century Gothic"/>
              </w:rPr>
            </w:pPr>
            <w:r>
              <w:rPr>
                <w:rFonts w:ascii="Century Gothic" w:hAnsi="Century Gothic"/>
              </w:rPr>
              <w:t>CY 2025 Data</w:t>
            </w:r>
          </w:p>
        </w:tc>
        <w:tc>
          <w:tcPr>
            <w:tcW w:w="3117" w:type="dxa"/>
          </w:tcPr>
          <w:p w14:paraId="2AE2EACB" w14:textId="77777777" w:rsidR="00423A4D" w:rsidRPr="00B01175" w:rsidRDefault="002F768A" w:rsidP="00B00935">
            <w:pPr>
              <w:rPr>
                <w:rFonts w:ascii="Century Gothic" w:hAnsi="Century Gothic"/>
              </w:rPr>
            </w:pPr>
            <w:r>
              <w:rPr>
                <w:rFonts w:ascii="Century Gothic" w:hAnsi="Century Gothic"/>
              </w:rPr>
              <w:t>March 1, 2026</w:t>
            </w:r>
          </w:p>
        </w:tc>
      </w:tr>
      <w:tr w:rsidR="00423A4D" w14:paraId="263C8A59" w14:textId="77777777" w:rsidTr="00B00935">
        <w:tc>
          <w:tcPr>
            <w:tcW w:w="3116" w:type="dxa"/>
          </w:tcPr>
          <w:p w14:paraId="2A760BAC" w14:textId="77777777" w:rsidR="00423A4D" w:rsidRPr="00B01175" w:rsidRDefault="002F768A" w:rsidP="00B00935">
            <w:pPr>
              <w:rPr>
                <w:rFonts w:ascii="Century Gothic" w:hAnsi="Century Gothic"/>
              </w:rPr>
            </w:pPr>
            <w:r>
              <w:rPr>
                <w:rFonts w:ascii="Century Gothic" w:hAnsi="Century Gothic"/>
              </w:rPr>
              <w:t>Safe Use of Opioids</w:t>
            </w:r>
          </w:p>
        </w:tc>
        <w:tc>
          <w:tcPr>
            <w:tcW w:w="3117" w:type="dxa"/>
          </w:tcPr>
          <w:p w14:paraId="0DAA900B" w14:textId="77777777" w:rsidR="00423A4D" w:rsidRPr="00B01175" w:rsidRDefault="002F768A" w:rsidP="00B00935">
            <w:pPr>
              <w:rPr>
                <w:rFonts w:ascii="Century Gothic" w:hAnsi="Century Gothic"/>
              </w:rPr>
            </w:pPr>
            <w:r>
              <w:rPr>
                <w:rFonts w:ascii="Century Gothic" w:hAnsi="Century Gothic"/>
              </w:rPr>
              <w:t>CY 2025 Data</w:t>
            </w:r>
          </w:p>
        </w:tc>
        <w:tc>
          <w:tcPr>
            <w:tcW w:w="3117" w:type="dxa"/>
          </w:tcPr>
          <w:p w14:paraId="63649F34" w14:textId="77777777" w:rsidR="00423A4D" w:rsidRPr="00B01175" w:rsidRDefault="002F768A" w:rsidP="00B00935">
            <w:pPr>
              <w:rPr>
                <w:rFonts w:ascii="Century Gothic" w:hAnsi="Century Gothic"/>
              </w:rPr>
            </w:pPr>
            <w:r>
              <w:rPr>
                <w:rFonts w:ascii="Century Gothic" w:hAnsi="Century Gothic"/>
              </w:rPr>
              <w:t>March 2, 2026</w:t>
            </w:r>
          </w:p>
        </w:tc>
      </w:tr>
      <w:tr w:rsidR="00423A4D" w14:paraId="7888C7B6" w14:textId="77777777" w:rsidTr="00B00935">
        <w:tc>
          <w:tcPr>
            <w:tcW w:w="3116" w:type="dxa"/>
          </w:tcPr>
          <w:p w14:paraId="7B9446DB" w14:textId="77777777" w:rsidR="00423A4D" w:rsidRPr="00B01175" w:rsidRDefault="002F768A" w:rsidP="00B00935">
            <w:pPr>
              <w:rPr>
                <w:rFonts w:ascii="Century Gothic" w:hAnsi="Century Gothic"/>
              </w:rPr>
            </w:pPr>
            <w:r>
              <w:rPr>
                <w:rFonts w:ascii="Century Gothic" w:hAnsi="Century Gothic"/>
              </w:rPr>
              <w:t>OP-22</w:t>
            </w:r>
          </w:p>
        </w:tc>
        <w:tc>
          <w:tcPr>
            <w:tcW w:w="3117" w:type="dxa"/>
          </w:tcPr>
          <w:p w14:paraId="026F2730" w14:textId="77777777" w:rsidR="00423A4D" w:rsidRPr="00B01175" w:rsidRDefault="002F768A" w:rsidP="00B00935">
            <w:pPr>
              <w:rPr>
                <w:rFonts w:ascii="Century Gothic" w:hAnsi="Century Gothic"/>
              </w:rPr>
            </w:pPr>
            <w:r>
              <w:rPr>
                <w:rFonts w:ascii="Century Gothic" w:hAnsi="Century Gothic"/>
              </w:rPr>
              <w:t>CY 2025 Data</w:t>
            </w:r>
          </w:p>
        </w:tc>
        <w:tc>
          <w:tcPr>
            <w:tcW w:w="3117" w:type="dxa"/>
          </w:tcPr>
          <w:p w14:paraId="7D3F1801" w14:textId="77777777" w:rsidR="00423A4D" w:rsidRPr="00B01175" w:rsidRDefault="002F768A" w:rsidP="00B00935">
            <w:pPr>
              <w:rPr>
                <w:rFonts w:ascii="Century Gothic" w:hAnsi="Century Gothic"/>
              </w:rPr>
            </w:pPr>
            <w:r>
              <w:rPr>
                <w:rFonts w:ascii="Century Gothic" w:hAnsi="Century Gothic"/>
              </w:rPr>
              <w:t>May 15, 2026</w:t>
            </w:r>
          </w:p>
        </w:tc>
      </w:tr>
      <w:tr w:rsidR="00423A4D" w14:paraId="4CB4AAE0" w14:textId="77777777" w:rsidTr="00B00935">
        <w:tc>
          <w:tcPr>
            <w:tcW w:w="3116" w:type="dxa"/>
          </w:tcPr>
          <w:p w14:paraId="326290DF" w14:textId="77777777" w:rsidR="00423A4D" w:rsidRPr="00B01175" w:rsidRDefault="002F768A" w:rsidP="00B00935">
            <w:pPr>
              <w:rPr>
                <w:rFonts w:ascii="Century Gothic" w:hAnsi="Century Gothic"/>
              </w:rPr>
            </w:pPr>
            <w:r>
              <w:rPr>
                <w:rFonts w:ascii="Century Gothic" w:hAnsi="Century Gothic"/>
              </w:rPr>
              <w:t>Healthcare Worker Immunizations</w:t>
            </w:r>
          </w:p>
        </w:tc>
        <w:tc>
          <w:tcPr>
            <w:tcW w:w="3117" w:type="dxa"/>
          </w:tcPr>
          <w:p w14:paraId="0A5C8951" w14:textId="77777777" w:rsidR="00423A4D" w:rsidRPr="00B01175" w:rsidRDefault="002F768A" w:rsidP="00B00935">
            <w:pPr>
              <w:rPr>
                <w:rFonts w:ascii="Century Gothic" w:hAnsi="Century Gothic"/>
              </w:rPr>
            </w:pPr>
            <w:r>
              <w:rPr>
                <w:rFonts w:ascii="Century Gothic" w:hAnsi="Century Gothic"/>
              </w:rPr>
              <w:t>CY 2025 Data</w:t>
            </w:r>
          </w:p>
        </w:tc>
        <w:tc>
          <w:tcPr>
            <w:tcW w:w="3117" w:type="dxa"/>
          </w:tcPr>
          <w:p w14:paraId="1B0C94C9" w14:textId="77777777" w:rsidR="00423A4D" w:rsidRPr="00B01175" w:rsidRDefault="002F768A" w:rsidP="00B00935">
            <w:pPr>
              <w:rPr>
                <w:rFonts w:ascii="Century Gothic" w:hAnsi="Century Gothic"/>
              </w:rPr>
            </w:pPr>
            <w:r>
              <w:rPr>
                <w:rFonts w:ascii="Century Gothic" w:hAnsi="Century Gothic"/>
              </w:rPr>
              <w:t>May 15, 2026</w:t>
            </w:r>
          </w:p>
        </w:tc>
      </w:tr>
      <w:tr w:rsidR="00423A4D" w14:paraId="6A9519BF" w14:textId="77777777" w:rsidTr="00B00935">
        <w:tc>
          <w:tcPr>
            <w:tcW w:w="3116" w:type="dxa"/>
          </w:tcPr>
          <w:p w14:paraId="4A0C34A2" w14:textId="77777777" w:rsidR="00423A4D" w:rsidRPr="00B01175" w:rsidRDefault="002F768A" w:rsidP="00B00935">
            <w:pPr>
              <w:rPr>
                <w:rFonts w:ascii="Century Gothic" w:hAnsi="Century Gothic"/>
              </w:rPr>
            </w:pPr>
            <w:r>
              <w:rPr>
                <w:rFonts w:ascii="Century Gothic" w:hAnsi="Century Gothic"/>
              </w:rPr>
              <w:t>CAH Assessment</w:t>
            </w:r>
          </w:p>
        </w:tc>
        <w:tc>
          <w:tcPr>
            <w:tcW w:w="3117" w:type="dxa"/>
          </w:tcPr>
          <w:p w14:paraId="514BFBD9" w14:textId="77777777" w:rsidR="00423A4D" w:rsidRPr="00B01175" w:rsidRDefault="002F768A" w:rsidP="00B00935">
            <w:pPr>
              <w:rPr>
                <w:rFonts w:ascii="Century Gothic" w:hAnsi="Century Gothic"/>
              </w:rPr>
            </w:pPr>
            <w:r>
              <w:rPr>
                <w:rFonts w:ascii="Century Gothic" w:hAnsi="Century Gothic"/>
              </w:rPr>
              <w:t>Annually</w:t>
            </w:r>
          </w:p>
        </w:tc>
        <w:tc>
          <w:tcPr>
            <w:tcW w:w="3117" w:type="dxa"/>
          </w:tcPr>
          <w:p w14:paraId="6B099B3B" w14:textId="77777777" w:rsidR="00423A4D" w:rsidRPr="00B01175" w:rsidRDefault="002F768A" w:rsidP="00B00935">
            <w:pPr>
              <w:rPr>
                <w:rFonts w:ascii="Century Gothic" w:hAnsi="Century Gothic"/>
              </w:rPr>
            </w:pPr>
            <w:r>
              <w:rPr>
                <w:rFonts w:ascii="Century Gothic" w:hAnsi="Century Gothic"/>
              </w:rPr>
              <w:t>November 21, 2025</w:t>
            </w:r>
          </w:p>
        </w:tc>
      </w:tr>
    </w:tbl>
    <w:p w14:paraId="7509A334" w14:textId="77777777" w:rsidR="002F768A" w:rsidRPr="00B81B94" w:rsidRDefault="002F768A" w:rsidP="002F768A">
      <w:pPr>
        <w:widowControl w:val="0"/>
        <w:spacing w:before="60" w:after="60" w:line="276" w:lineRule="auto"/>
        <w:rPr>
          <w:rFonts w:ascii="Century Gothic" w:hAnsi="Century Gothic"/>
          <w:sz w:val="20"/>
          <w:szCs w:val="18"/>
        </w:rPr>
      </w:pPr>
      <w:r w:rsidRPr="00B81B94">
        <w:rPr>
          <w:rFonts w:ascii="Century Gothic" w:hAnsi="Century Gothic"/>
          <w:sz w:val="20"/>
          <w:szCs w:val="18"/>
        </w:rPr>
        <w:t xml:space="preserve">CAHs must be reporting all </w:t>
      </w:r>
      <w:r>
        <w:rPr>
          <w:rFonts w:ascii="Century Gothic" w:hAnsi="Century Gothic"/>
          <w:sz w:val="20"/>
          <w:szCs w:val="18"/>
        </w:rPr>
        <w:t>9</w:t>
      </w:r>
      <w:r w:rsidRPr="00B81B94">
        <w:rPr>
          <w:rFonts w:ascii="Century Gothic" w:hAnsi="Century Gothic"/>
          <w:sz w:val="20"/>
          <w:szCs w:val="18"/>
        </w:rPr>
        <w:t xml:space="preserve"> measures laid out by CMS in </w:t>
      </w:r>
      <w:r>
        <w:rPr>
          <w:rFonts w:ascii="Century Gothic" w:hAnsi="Century Gothic"/>
          <w:sz w:val="20"/>
          <w:szCs w:val="18"/>
        </w:rPr>
        <w:t xml:space="preserve">August </w:t>
      </w:r>
      <w:r w:rsidRPr="00B81B94">
        <w:rPr>
          <w:rFonts w:ascii="Century Gothic" w:hAnsi="Century Gothic"/>
          <w:sz w:val="20"/>
          <w:szCs w:val="18"/>
        </w:rPr>
        <w:t>202</w:t>
      </w:r>
      <w:r>
        <w:rPr>
          <w:rFonts w:ascii="Century Gothic" w:hAnsi="Century Gothic"/>
          <w:sz w:val="20"/>
          <w:szCs w:val="18"/>
        </w:rPr>
        <w:t>5</w:t>
      </w:r>
      <w:r w:rsidRPr="00B81B94">
        <w:rPr>
          <w:rFonts w:ascii="Century Gothic" w:hAnsi="Century Gothic"/>
          <w:sz w:val="20"/>
          <w:szCs w:val="18"/>
        </w:rPr>
        <w:t xml:space="preserve"> to be eligible for Flex funded activities (</w:t>
      </w:r>
      <w:proofErr w:type="spellStart"/>
      <w:r w:rsidRPr="00B81B94">
        <w:rPr>
          <w:rFonts w:ascii="Century Gothic" w:hAnsi="Century Gothic"/>
          <w:sz w:val="20"/>
          <w:szCs w:val="18"/>
        </w:rPr>
        <w:t>ie</w:t>
      </w:r>
      <w:proofErr w:type="spellEnd"/>
      <w:r w:rsidRPr="00B81B94">
        <w:rPr>
          <w:rFonts w:ascii="Century Gothic" w:hAnsi="Century Gothic"/>
          <w:sz w:val="20"/>
          <w:szCs w:val="18"/>
        </w:rPr>
        <w:t xml:space="preserve">; participant support) to see all </w:t>
      </w:r>
      <w:r>
        <w:rPr>
          <w:rFonts w:ascii="Century Gothic" w:hAnsi="Century Gothic"/>
          <w:sz w:val="20"/>
          <w:szCs w:val="18"/>
        </w:rPr>
        <w:t>9</w:t>
      </w:r>
      <w:r w:rsidRPr="00B81B94">
        <w:rPr>
          <w:rFonts w:ascii="Century Gothic" w:hAnsi="Century Gothic"/>
          <w:sz w:val="20"/>
          <w:szCs w:val="18"/>
        </w:rPr>
        <w:t xml:space="preserve"> measures visit</w:t>
      </w:r>
      <w:r>
        <w:rPr>
          <w:rFonts w:ascii="Century Gothic" w:hAnsi="Century Gothic"/>
          <w:sz w:val="20"/>
          <w:szCs w:val="18"/>
        </w:rPr>
        <w:t xml:space="preserve"> click </w:t>
      </w:r>
      <w:hyperlink r:id="rId8" w:history="1">
        <w:r w:rsidRPr="00B81B94">
          <w:rPr>
            <w:rStyle w:val="Hyperlink"/>
            <w:rFonts w:ascii="Century Gothic" w:hAnsi="Century Gothic"/>
            <w:sz w:val="20"/>
            <w:szCs w:val="18"/>
          </w:rPr>
          <w:t>here</w:t>
        </w:r>
      </w:hyperlink>
    </w:p>
    <w:p w14:paraId="0DC6F489" w14:textId="77777777" w:rsidR="002F768A" w:rsidRDefault="002F768A" w:rsidP="00A41239">
      <w:pPr>
        <w:spacing w:line="240" w:lineRule="auto"/>
        <w:rPr>
          <w:rFonts w:ascii="Century Gothic" w:hAnsi="Century Gothic"/>
          <w:b/>
          <w:color w:val="FFFFFF" w:themeColor="background1"/>
          <w:highlight w:val="darkBlue"/>
        </w:rPr>
      </w:pPr>
    </w:p>
    <w:p w14:paraId="249FDBF3" w14:textId="77777777" w:rsidR="0057548B" w:rsidRPr="00A41239" w:rsidRDefault="0057548B" w:rsidP="00A41239">
      <w:pPr>
        <w:spacing w:line="240" w:lineRule="auto"/>
        <w:rPr>
          <w:rFonts w:ascii="Century Gothic" w:hAnsi="Century Gothic"/>
          <w:b/>
          <w:color w:val="FFFFFF" w:themeColor="background1"/>
        </w:rPr>
      </w:pPr>
      <w:r w:rsidRPr="00A41239">
        <w:rPr>
          <w:rFonts w:ascii="Century Gothic" w:hAnsi="Century Gothic"/>
          <w:b/>
          <w:color w:val="FFFFFF" w:themeColor="background1"/>
          <w:highlight w:val="darkBlue"/>
        </w:rPr>
        <w:t>CRITERIA #3: ENGAGEMENT AND SHARING WITH MT CAHS</w:t>
      </w:r>
    </w:p>
    <w:p w14:paraId="23C5CB40" w14:textId="77777777" w:rsidR="00CA0EDF" w:rsidRDefault="005547B5" w:rsidP="00CD75C4">
      <w:pPr>
        <w:spacing w:line="240" w:lineRule="auto"/>
        <w:rPr>
          <w:rFonts w:ascii="Century Gothic" w:hAnsi="Century Gothic"/>
        </w:rPr>
      </w:pPr>
      <w:r>
        <w:rPr>
          <w:rFonts w:ascii="Century Gothic" w:hAnsi="Century Gothic"/>
        </w:rPr>
        <w:t>In order to meet criteria 3, a CAH</w:t>
      </w:r>
      <w:r w:rsidR="006A5129">
        <w:rPr>
          <w:rFonts w:ascii="Century Gothic" w:hAnsi="Century Gothic"/>
        </w:rPr>
        <w:t xml:space="preserve"> staff member</w:t>
      </w:r>
      <w:r>
        <w:rPr>
          <w:rFonts w:ascii="Century Gothic" w:hAnsi="Century Gothic"/>
        </w:rPr>
        <w:t xml:space="preserve"> must participate in a minimum of 2 Quality Program activities throughout the grant year. </w:t>
      </w:r>
    </w:p>
    <w:tbl>
      <w:tblPr>
        <w:tblStyle w:val="GridTable1Light"/>
        <w:tblW w:w="10353" w:type="dxa"/>
        <w:tblLayout w:type="fixed"/>
        <w:tblLook w:val="04A0" w:firstRow="1" w:lastRow="0" w:firstColumn="1" w:lastColumn="0" w:noHBand="0" w:noVBand="1"/>
      </w:tblPr>
      <w:tblGrid>
        <w:gridCol w:w="2404"/>
        <w:gridCol w:w="1999"/>
        <w:gridCol w:w="5950"/>
      </w:tblGrid>
      <w:tr w:rsidR="00120083" w14:paraId="778E6671" w14:textId="77777777" w:rsidTr="006A5129">
        <w:trPr>
          <w:cnfStyle w:val="100000000000" w:firstRow="1" w:lastRow="0" w:firstColumn="0" w:lastColumn="0" w:oddVBand="0" w:evenVBand="0" w:oddHBand="0"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2404" w:type="dxa"/>
          </w:tcPr>
          <w:p w14:paraId="76132526" w14:textId="77777777" w:rsidR="00120083" w:rsidRPr="0057548B" w:rsidRDefault="00120083" w:rsidP="00CA0EDF">
            <w:pPr>
              <w:spacing w:line="276" w:lineRule="auto"/>
              <w:rPr>
                <w:rFonts w:ascii="Century Gothic" w:hAnsi="Century Gothic"/>
              </w:rPr>
            </w:pPr>
            <w:r>
              <w:rPr>
                <w:rFonts w:ascii="Century Gothic" w:hAnsi="Century Gothic"/>
              </w:rPr>
              <w:t>ACTIVITY</w:t>
            </w:r>
          </w:p>
        </w:tc>
        <w:tc>
          <w:tcPr>
            <w:tcW w:w="1999" w:type="dxa"/>
          </w:tcPr>
          <w:p w14:paraId="578506E8" w14:textId="77777777" w:rsidR="00120083" w:rsidRPr="0057548B" w:rsidRDefault="00120083" w:rsidP="0057548B">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57548B">
              <w:rPr>
                <w:rFonts w:ascii="Century Gothic" w:hAnsi="Century Gothic"/>
              </w:rPr>
              <w:t>Dates</w:t>
            </w:r>
          </w:p>
        </w:tc>
        <w:tc>
          <w:tcPr>
            <w:tcW w:w="5950" w:type="dxa"/>
          </w:tcPr>
          <w:p w14:paraId="2566E5E6" w14:textId="77777777" w:rsidR="00120083" w:rsidRPr="0057548B" w:rsidRDefault="00120083" w:rsidP="0057548B">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57548B">
              <w:rPr>
                <w:rFonts w:ascii="Century Gothic" w:hAnsi="Century Gothic"/>
              </w:rPr>
              <w:t>Completion Requirement</w:t>
            </w:r>
          </w:p>
        </w:tc>
      </w:tr>
      <w:tr w:rsidR="00120083" w14:paraId="4F300369" w14:textId="77777777" w:rsidTr="006A5129">
        <w:trPr>
          <w:trHeight w:val="44"/>
        </w:trPr>
        <w:tc>
          <w:tcPr>
            <w:cnfStyle w:val="001000000000" w:firstRow="0" w:lastRow="0" w:firstColumn="1" w:lastColumn="0" w:oddVBand="0" w:evenVBand="0" w:oddHBand="0" w:evenHBand="0" w:firstRowFirstColumn="0" w:firstRowLastColumn="0" w:lastRowFirstColumn="0" w:lastRowLastColumn="0"/>
            <w:tcW w:w="2404" w:type="dxa"/>
          </w:tcPr>
          <w:p w14:paraId="2CFCFE9A" w14:textId="77777777" w:rsidR="00120083" w:rsidRPr="006A5129" w:rsidRDefault="00120083" w:rsidP="00700FA9">
            <w:pPr>
              <w:widowControl w:val="0"/>
              <w:spacing w:before="60" w:after="60"/>
              <w:rPr>
                <w:rFonts w:ascii="Century Gothic" w:hAnsi="Century Gothic"/>
                <w:b w:val="0"/>
                <w:sz w:val="20"/>
                <w:szCs w:val="20"/>
              </w:rPr>
            </w:pPr>
            <w:r w:rsidRPr="006A5129">
              <w:rPr>
                <w:rFonts w:ascii="Century Gothic" w:hAnsi="Century Gothic"/>
                <w:sz w:val="20"/>
                <w:szCs w:val="20"/>
              </w:rPr>
              <w:t>Facility Spotlight in the PIN Quarterly Newsletter</w:t>
            </w:r>
          </w:p>
        </w:tc>
        <w:tc>
          <w:tcPr>
            <w:tcW w:w="1999" w:type="dxa"/>
          </w:tcPr>
          <w:p w14:paraId="00C03609" w14:textId="77777777" w:rsidR="00120083" w:rsidRPr="006A5129" w:rsidRDefault="00120083" w:rsidP="009F280C">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A5129">
              <w:rPr>
                <w:rFonts w:ascii="Century Gothic" w:hAnsi="Century Gothic"/>
                <w:sz w:val="20"/>
                <w:szCs w:val="20"/>
              </w:rPr>
              <w:t>Nov, Feb, May</w:t>
            </w:r>
          </w:p>
        </w:tc>
        <w:tc>
          <w:tcPr>
            <w:tcW w:w="5950" w:type="dxa"/>
          </w:tcPr>
          <w:p w14:paraId="68E5B3CF" w14:textId="77777777" w:rsidR="00120083" w:rsidRPr="006A5129" w:rsidRDefault="00120083" w:rsidP="00700FA9">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A5129">
              <w:rPr>
                <w:rFonts w:ascii="Century Gothic" w:hAnsi="Century Gothic"/>
                <w:sz w:val="20"/>
                <w:szCs w:val="20"/>
              </w:rPr>
              <w:t>Submit article relating to project, event, or process that other CAHs can learn from and implement</w:t>
            </w:r>
          </w:p>
        </w:tc>
      </w:tr>
      <w:tr w:rsidR="00120083" w14:paraId="6DB342D3" w14:textId="77777777" w:rsidTr="006A5129">
        <w:trPr>
          <w:trHeight w:val="60"/>
        </w:trPr>
        <w:tc>
          <w:tcPr>
            <w:cnfStyle w:val="001000000000" w:firstRow="0" w:lastRow="0" w:firstColumn="1" w:lastColumn="0" w:oddVBand="0" w:evenVBand="0" w:oddHBand="0" w:evenHBand="0" w:firstRowFirstColumn="0" w:firstRowLastColumn="0" w:lastRowFirstColumn="0" w:lastRowLastColumn="0"/>
            <w:tcW w:w="2404" w:type="dxa"/>
            <w:tcBorders>
              <w:top w:val="single" w:sz="4" w:space="0" w:color="auto"/>
            </w:tcBorders>
          </w:tcPr>
          <w:p w14:paraId="7FFFB812" w14:textId="1F7A1FCB" w:rsidR="00120083" w:rsidRPr="006A5129" w:rsidRDefault="009E62EC" w:rsidP="00700FA9">
            <w:pPr>
              <w:spacing w:before="60" w:after="60"/>
              <w:rPr>
                <w:rFonts w:ascii="Century Gothic" w:hAnsi="Century Gothic"/>
                <w:sz w:val="20"/>
                <w:szCs w:val="20"/>
              </w:rPr>
            </w:pPr>
            <w:r w:rsidRPr="006A5129">
              <w:rPr>
                <w:rFonts w:ascii="Century Gothic" w:hAnsi="Century Gothic"/>
                <w:sz w:val="20"/>
                <w:szCs w:val="20"/>
              </w:rPr>
              <w:t>Regional Meeting</w:t>
            </w:r>
            <w:r w:rsidR="006A5129">
              <w:rPr>
                <w:rFonts w:ascii="Century Gothic" w:hAnsi="Century Gothic"/>
                <w:sz w:val="20"/>
                <w:szCs w:val="20"/>
              </w:rPr>
              <w:t>/CAH QI Convening</w:t>
            </w:r>
          </w:p>
          <w:p w14:paraId="10457E15" w14:textId="77777777" w:rsidR="00120083" w:rsidRPr="006A5129" w:rsidRDefault="00120083" w:rsidP="00394B6D">
            <w:pPr>
              <w:spacing w:before="60" w:after="60"/>
              <w:rPr>
                <w:rFonts w:ascii="Century Gothic" w:hAnsi="Century Gothic"/>
                <w:b w:val="0"/>
                <w:strike/>
                <w:sz w:val="20"/>
                <w:szCs w:val="20"/>
              </w:rPr>
            </w:pPr>
          </w:p>
        </w:tc>
        <w:tc>
          <w:tcPr>
            <w:tcW w:w="1999" w:type="dxa"/>
            <w:tcBorders>
              <w:top w:val="single" w:sz="4" w:space="0" w:color="auto"/>
            </w:tcBorders>
          </w:tcPr>
          <w:p w14:paraId="5502A2B3" w14:textId="77777777" w:rsidR="00120083" w:rsidRPr="006A5129" w:rsidRDefault="009E62EC" w:rsidP="00700FA9">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A5129">
              <w:rPr>
                <w:rFonts w:ascii="Century Gothic" w:hAnsi="Century Gothic"/>
                <w:sz w:val="20"/>
                <w:szCs w:val="20"/>
              </w:rPr>
              <w:t>April 2025</w:t>
            </w:r>
          </w:p>
        </w:tc>
        <w:tc>
          <w:tcPr>
            <w:tcW w:w="5950" w:type="dxa"/>
            <w:tcBorders>
              <w:top w:val="single" w:sz="4" w:space="0" w:color="auto"/>
            </w:tcBorders>
          </w:tcPr>
          <w:p w14:paraId="61289A45" w14:textId="77777777" w:rsidR="00120083" w:rsidRPr="006A5129" w:rsidRDefault="009E62EC" w:rsidP="00700FA9">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A5129">
              <w:rPr>
                <w:rFonts w:ascii="Century Gothic" w:hAnsi="Century Gothic"/>
                <w:sz w:val="20"/>
                <w:szCs w:val="20"/>
              </w:rPr>
              <w:t>Attend the</w:t>
            </w:r>
            <w:r w:rsidR="006A5129">
              <w:rPr>
                <w:rFonts w:ascii="Century Gothic" w:hAnsi="Century Gothic"/>
                <w:sz w:val="20"/>
                <w:szCs w:val="20"/>
              </w:rPr>
              <w:t xml:space="preserve"> </w:t>
            </w:r>
            <w:r w:rsidRPr="006A5129">
              <w:rPr>
                <w:rFonts w:ascii="Century Gothic" w:hAnsi="Century Gothic"/>
                <w:sz w:val="20"/>
                <w:szCs w:val="20"/>
              </w:rPr>
              <w:t>Regional meeting in conjunction with the MHA Health Summit</w:t>
            </w:r>
          </w:p>
        </w:tc>
      </w:tr>
      <w:tr w:rsidR="00120083" w14:paraId="5B45894B" w14:textId="77777777" w:rsidTr="006A5129">
        <w:trPr>
          <w:trHeight w:val="50"/>
        </w:trPr>
        <w:tc>
          <w:tcPr>
            <w:cnfStyle w:val="001000000000" w:firstRow="0" w:lastRow="0" w:firstColumn="1" w:lastColumn="0" w:oddVBand="0" w:evenVBand="0" w:oddHBand="0" w:evenHBand="0" w:firstRowFirstColumn="0" w:firstRowLastColumn="0" w:lastRowFirstColumn="0" w:lastRowLastColumn="0"/>
            <w:tcW w:w="2404" w:type="dxa"/>
          </w:tcPr>
          <w:p w14:paraId="111778DD" w14:textId="77777777" w:rsidR="00120083" w:rsidRPr="006A5129" w:rsidRDefault="00120083" w:rsidP="00700FA9">
            <w:pPr>
              <w:widowControl w:val="0"/>
              <w:spacing w:before="60" w:after="60"/>
              <w:rPr>
                <w:rFonts w:ascii="Century Gothic" w:hAnsi="Century Gothic"/>
                <w:b w:val="0"/>
                <w:sz w:val="20"/>
                <w:szCs w:val="20"/>
              </w:rPr>
            </w:pPr>
            <w:r w:rsidRPr="006A5129">
              <w:rPr>
                <w:rFonts w:ascii="Century Gothic" w:hAnsi="Century Gothic"/>
                <w:sz w:val="20"/>
                <w:szCs w:val="20"/>
              </w:rPr>
              <w:t xml:space="preserve">QI </w:t>
            </w:r>
            <w:r w:rsidR="006A5129">
              <w:rPr>
                <w:rFonts w:ascii="Century Gothic" w:hAnsi="Century Gothic"/>
                <w:sz w:val="20"/>
                <w:szCs w:val="20"/>
              </w:rPr>
              <w:t>Fellowship</w:t>
            </w:r>
          </w:p>
        </w:tc>
        <w:tc>
          <w:tcPr>
            <w:tcW w:w="1999" w:type="dxa"/>
          </w:tcPr>
          <w:p w14:paraId="4C847274" w14:textId="77777777" w:rsidR="00120083" w:rsidRPr="006A5129" w:rsidRDefault="00120083" w:rsidP="00700FA9">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A5129">
              <w:rPr>
                <w:rFonts w:ascii="Century Gothic" w:hAnsi="Century Gothic"/>
                <w:sz w:val="20"/>
                <w:szCs w:val="20"/>
              </w:rPr>
              <w:t>All year</w:t>
            </w:r>
          </w:p>
        </w:tc>
        <w:tc>
          <w:tcPr>
            <w:tcW w:w="5950" w:type="dxa"/>
          </w:tcPr>
          <w:p w14:paraId="1027A083" w14:textId="77777777" w:rsidR="00120083" w:rsidRPr="006A5129" w:rsidRDefault="00120083" w:rsidP="009F280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A5129">
              <w:rPr>
                <w:rFonts w:ascii="Century Gothic" w:hAnsi="Century Gothic"/>
                <w:sz w:val="20"/>
                <w:szCs w:val="20"/>
              </w:rPr>
              <w:t xml:space="preserve">Meet specified project completion requirements set by QI </w:t>
            </w:r>
            <w:r w:rsidR="006A5129">
              <w:rPr>
                <w:rFonts w:ascii="Century Gothic" w:hAnsi="Century Gothic"/>
                <w:sz w:val="20"/>
                <w:szCs w:val="20"/>
              </w:rPr>
              <w:t>Fellowship</w:t>
            </w:r>
            <w:r w:rsidRPr="006A5129">
              <w:rPr>
                <w:rFonts w:ascii="Century Gothic" w:hAnsi="Century Gothic"/>
                <w:sz w:val="20"/>
                <w:szCs w:val="20"/>
              </w:rPr>
              <w:t xml:space="preserve"> program. Must participate in activities and complete assigned tasks.  </w:t>
            </w:r>
          </w:p>
        </w:tc>
      </w:tr>
      <w:tr w:rsidR="00120083" w14:paraId="5665DE34" w14:textId="77777777" w:rsidTr="006A5129">
        <w:trPr>
          <w:trHeight w:val="35"/>
        </w:trPr>
        <w:tc>
          <w:tcPr>
            <w:cnfStyle w:val="001000000000" w:firstRow="0" w:lastRow="0" w:firstColumn="1" w:lastColumn="0" w:oddVBand="0" w:evenVBand="0" w:oddHBand="0" w:evenHBand="0" w:firstRowFirstColumn="0" w:firstRowLastColumn="0" w:lastRowFirstColumn="0" w:lastRowLastColumn="0"/>
            <w:tcW w:w="2404" w:type="dxa"/>
          </w:tcPr>
          <w:p w14:paraId="15B0FBEF" w14:textId="77777777" w:rsidR="00120083" w:rsidRPr="006A5129" w:rsidRDefault="00394B6D" w:rsidP="00700FA9">
            <w:pPr>
              <w:widowControl w:val="0"/>
              <w:spacing w:before="60" w:after="60"/>
              <w:rPr>
                <w:rFonts w:ascii="Century Gothic" w:hAnsi="Century Gothic"/>
                <w:sz w:val="20"/>
                <w:szCs w:val="20"/>
              </w:rPr>
            </w:pPr>
            <w:r w:rsidRPr="006A5129">
              <w:rPr>
                <w:rFonts w:ascii="Century Gothic" w:hAnsi="Century Gothic"/>
                <w:sz w:val="20"/>
                <w:szCs w:val="20"/>
              </w:rPr>
              <w:t xml:space="preserve">Lean Certification Program </w:t>
            </w:r>
          </w:p>
        </w:tc>
        <w:tc>
          <w:tcPr>
            <w:tcW w:w="1999" w:type="dxa"/>
          </w:tcPr>
          <w:p w14:paraId="41BDB2B3" w14:textId="77777777" w:rsidR="00120083" w:rsidRPr="006A5129" w:rsidRDefault="00120083" w:rsidP="00700FA9">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A5129">
              <w:rPr>
                <w:rFonts w:ascii="Century Gothic" w:hAnsi="Century Gothic"/>
                <w:sz w:val="20"/>
                <w:szCs w:val="20"/>
              </w:rPr>
              <w:t>All Year</w:t>
            </w:r>
          </w:p>
        </w:tc>
        <w:tc>
          <w:tcPr>
            <w:tcW w:w="5950" w:type="dxa"/>
          </w:tcPr>
          <w:p w14:paraId="257D63AE" w14:textId="77777777" w:rsidR="00120083" w:rsidRPr="006A5129" w:rsidRDefault="00120083" w:rsidP="00F4649E">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A5129">
              <w:rPr>
                <w:rFonts w:ascii="Century Gothic" w:hAnsi="Century Gothic"/>
                <w:sz w:val="20"/>
                <w:szCs w:val="20"/>
              </w:rPr>
              <w:t xml:space="preserve">Complete </w:t>
            </w:r>
            <w:r w:rsidR="00F4649E" w:rsidRPr="006A5129">
              <w:rPr>
                <w:rFonts w:ascii="Century Gothic" w:hAnsi="Century Gothic"/>
                <w:sz w:val="20"/>
                <w:szCs w:val="20"/>
              </w:rPr>
              <w:t>all modules with practical applications/homework and attend live coaching calls</w:t>
            </w:r>
            <w:r w:rsidR="00394B6D" w:rsidRPr="006A5129">
              <w:rPr>
                <w:rFonts w:ascii="Century Gothic" w:hAnsi="Century Gothic"/>
                <w:sz w:val="20"/>
                <w:szCs w:val="20"/>
              </w:rPr>
              <w:t>.</w:t>
            </w:r>
          </w:p>
        </w:tc>
      </w:tr>
      <w:tr w:rsidR="00394B6D" w14:paraId="63631987" w14:textId="77777777" w:rsidTr="006A5129">
        <w:trPr>
          <w:trHeight w:val="43"/>
        </w:trPr>
        <w:tc>
          <w:tcPr>
            <w:cnfStyle w:val="001000000000" w:firstRow="0" w:lastRow="0" w:firstColumn="1" w:lastColumn="0" w:oddVBand="0" w:evenVBand="0" w:oddHBand="0" w:evenHBand="0" w:firstRowFirstColumn="0" w:firstRowLastColumn="0" w:lastRowFirstColumn="0" w:lastRowLastColumn="0"/>
            <w:tcW w:w="2404" w:type="dxa"/>
          </w:tcPr>
          <w:p w14:paraId="1D0A627C" w14:textId="77777777" w:rsidR="00394B6D" w:rsidRPr="006A5129" w:rsidRDefault="00121A15" w:rsidP="00700FA9">
            <w:pPr>
              <w:widowControl w:val="0"/>
              <w:spacing w:before="60" w:after="60"/>
              <w:rPr>
                <w:rFonts w:ascii="Century Gothic" w:hAnsi="Century Gothic"/>
                <w:sz w:val="20"/>
                <w:szCs w:val="20"/>
              </w:rPr>
            </w:pPr>
            <w:r w:rsidRPr="006A5129">
              <w:rPr>
                <w:rFonts w:ascii="Century Gothic" w:hAnsi="Century Gothic"/>
                <w:sz w:val="20"/>
                <w:szCs w:val="20"/>
              </w:rPr>
              <w:t>CP</w:t>
            </w:r>
            <w:r w:rsidR="006A5129">
              <w:rPr>
                <w:rFonts w:ascii="Century Gothic" w:hAnsi="Century Gothic"/>
                <w:sz w:val="20"/>
                <w:szCs w:val="20"/>
              </w:rPr>
              <w:t>PS</w:t>
            </w:r>
            <w:r w:rsidRPr="006A5129">
              <w:rPr>
                <w:rFonts w:ascii="Century Gothic" w:hAnsi="Century Gothic"/>
                <w:sz w:val="20"/>
                <w:szCs w:val="20"/>
              </w:rPr>
              <w:t xml:space="preserve"> Certification</w:t>
            </w:r>
          </w:p>
        </w:tc>
        <w:tc>
          <w:tcPr>
            <w:tcW w:w="1999" w:type="dxa"/>
          </w:tcPr>
          <w:p w14:paraId="3270F09C" w14:textId="77777777" w:rsidR="00394B6D" w:rsidRPr="006A5129" w:rsidRDefault="00121A15" w:rsidP="00700FA9">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A5129">
              <w:rPr>
                <w:rFonts w:ascii="Century Gothic" w:hAnsi="Century Gothic"/>
                <w:sz w:val="20"/>
                <w:szCs w:val="20"/>
              </w:rPr>
              <w:t>Late Winter/Spring 202</w:t>
            </w:r>
            <w:r w:rsidR="009043C2" w:rsidRPr="006A5129">
              <w:rPr>
                <w:rFonts w:ascii="Century Gothic" w:hAnsi="Century Gothic"/>
                <w:sz w:val="20"/>
                <w:szCs w:val="20"/>
              </w:rPr>
              <w:t>5</w:t>
            </w:r>
          </w:p>
        </w:tc>
        <w:tc>
          <w:tcPr>
            <w:tcW w:w="5950" w:type="dxa"/>
          </w:tcPr>
          <w:p w14:paraId="31CB680A" w14:textId="77777777" w:rsidR="00394B6D" w:rsidRPr="006A5129" w:rsidRDefault="00121A15" w:rsidP="00394B6D">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A5129">
              <w:rPr>
                <w:rFonts w:ascii="Century Gothic" w:hAnsi="Century Gothic"/>
                <w:sz w:val="20"/>
                <w:szCs w:val="20"/>
              </w:rPr>
              <w:t>Complete course prep and test for certification.</w:t>
            </w:r>
          </w:p>
        </w:tc>
      </w:tr>
      <w:tr w:rsidR="00120083" w14:paraId="2BC4043E" w14:textId="77777777" w:rsidTr="006A5129">
        <w:trPr>
          <w:trHeight w:val="61"/>
        </w:trPr>
        <w:tc>
          <w:tcPr>
            <w:cnfStyle w:val="001000000000" w:firstRow="0" w:lastRow="0" w:firstColumn="1" w:lastColumn="0" w:oddVBand="0" w:evenVBand="0" w:oddHBand="0" w:evenHBand="0" w:firstRowFirstColumn="0" w:firstRowLastColumn="0" w:lastRowFirstColumn="0" w:lastRowLastColumn="0"/>
            <w:tcW w:w="2404" w:type="dxa"/>
          </w:tcPr>
          <w:p w14:paraId="6BD73E56" w14:textId="77777777" w:rsidR="00120083" w:rsidRPr="006A5129" w:rsidRDefault="00120083" w:rsidP="00121A15">
            <w:pPr>
              <w:widowControl w:val="0"/>
              <w:spacing w:before="60" w:after="60"/>
              <w:rPr>
                <w:rFonts w:ascii="Century Gothic" w:hAnsi="Century Gothic"/>
                <w:sz w:val="20"/>
                <w:szCs w:val="20"/>
              </w:rPr>
            </w:pPr>
            <w:r w:rsidRPr="006A5129">
              <w:rPr>
                <w:rFonts w:ascii="Century Gothic" w:hAnsi="Century Gothic"/>
                <w:sz w:val="20"/>
                <w:szCs w:val="20"/>
              </w:rPr>
              <w:t xml:space="preserve">Financial </w:t>
            </w:r>
            <w:r w:rsidR="00D76925" w:rsidRPr="006A5129">
              <w:rPr>
                <w:rFonts w:ascii="Century Gothic" w:hAnsi="Century Gothic"/>
                <w:sz w:val="20"/>
                <w:szCs w:val="20"/>
              </w:rPr>
              <w:t xml:space="preserve">&amp; Operational </w:t>
            </w:r>
            <w:r w:rsidRPr="006A5129">
              <w:rPr>
                <w:rFonts w:ascii="Century Gothic" w:hAnsi="Century Gothic"/>
                <w:sz w:val="20"/>
                <w:szCs w:val="20"/>
              </w:rPr>
              <w:t>Improvement</w:t>
            </w:r>
            <w:r w:rsidR="00D76925" w:rsidRPr="006A5129">
              <w:rPr>
                <w:rFonts w:ascii="Century Gothic" w:hAnsi="Century Gothic"/>
                <w:sz w:val="20"/>
                <w:szCs w:val="20"/>
              </w:rPr>
              <w:t xml:space="preserve"> Project </w:t>
            </w:r>
          </w:p>
        </w:tc>
        <w:tc>
          <w:tcPr>
            <w:tcW w:w="1999" w:type="dxa"/>
          </w:tcPr>
          <w:p w14:paraId="3B7F5178" w14:textId="77777777" w:rsidR="00120083" w:rsidRPr="006A5129" w:rsidRDefault="009043C2" w:rsidP="00700FA9">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A5129">
              <w:rPr>
                <w:rFonts w:ascii="Century Gothic" w:hAnsi="Century Gothic"/>
                <w:sz w:val="20"/>
                <w:szCs w:val="20"/>
              </w:rPr>
              <w:t>Late Winter/Spring 2025</w:t>
            </w:r>
          </w:p>
        </w:tc>
        <w:tc>
          <w:tcPr>
            <w:tcW w:w="5950" w:type="dxa"/>
          </w:tcPr>
          <w:p w14:paraId="1E65358C" w14:textId="77777777" w:rsidR="00120083" w:rsidRPr="006A5129" w:rsidRDefault="009043C2" w:rsidP="00F4649E">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6A5129">
              <w:rPr>
                <w:rFonts w:ascii="Century Gothic" w:hAnsi="Century Gothic"/>
                <w:sz w:val="20"/>
                <w:szCs w:val="20"/>
              </w:rPr>
              <w:t xml:space="preserve">Meet specified project completion requirements set by FOIP program. Must participate in activities and complete assigned tasks.  </w:t>
            </w:r>
          </w:p>
        </w:tc>
      </w:tr>
    </w:tbl>
    <w:p w14:paraId="19E383D6" w14:textId="77777777" w:rsidR="00CB0116" w:rsidRDefault="00CB0116" w:rsidP="00A369B4">
      <w:pPr>
        <w:rPr>
          <w:rFonts w:ascii="Century Gothic" w:hAnsi="Century Gothic"/>
          <w:b/>
          <w:sz w:val="28"/>
        </w:rPr>
      </w:pPr>
    </w:p>
    <w:p w14:paraId="48455CE4" w14:textId="77777777" w:rsidR="00DF3976" w:rsidRDefault="00DF3976" w:rsidP="00A369B4">
      <w:pPr>
        <w:rPr>
          <w:rFonts w:ascii="Century Gothic" w:hAnsi="Century Gothic"/>
          <w:b/>
          <w:sz w:val="28"/>
        </w:rPr>
      </w:pPr>
    </w:p>
    <w:tbl>
      <w:tblPr>
        <w:tblStyle w:val="TableGrid"/>
        <w:tblW w:w="0" w:type="auto"/>
        <w:tblLook w:val="04A0" w:firstRow="1" w:lastRow="0" w:firstColumn="1" w:lastColumn="0" w:noHBand="0" w:noVBand="1"/>
      </w:tblPr>
      <w:tblGrid>
        <w:gridCol w:w="2425"/>
        <w:gridCol w:w="1980"/>
        <w:gridCol w:w="6097"/>
      </w:tblGrid>
      <w:tr w:rsidR="006A5129" w14:paraId="27B6B2BD" w14:textId="77777777" w:rsidTr="00664855">
        <w:tc>
          <w:tcPr>
            <w:tcW w:w="2425" w:type="dxa"/>
          </w:tcPr>
          <w:p w14:paraId="280980DA" w14:textId="77777777" w:rsidR="006A5129" w:rsidRPr="006A5129" w:rsidRDefault="006A5129" w:rsidP="00A369B4">
            <w:pPr>
              <w:rPr>
                <w:rFonts w:ascii="Century Gothic" w:hAnsi="Century Gothic"/>
                <w:b/>
                <w:sz w:val="20"/>
                <w:szCs w:val="20"/>
              </w:rPr>
            </w:pPr>
            <w:r>
              <w:rPr>
                <w:rFonts w:ascii="Century Gothic" w:hAnsi="Century Gothic"/>
                <w:b/>
                <w:sz w:val="20"/>
                <w:szCs w:val="20"/>
              </w:rPr>
              <w:t>Conditions of Participation Webinar Series</w:t>
            </w:r>
          </w:p>
        </w:tc>
        <w:tc>
          <w:tcPr>
            <w:tcW w:w="1980" w:type="dxa"/>
          </w:tcPr>
          <w:p w14:paraId="0FA105DD" w14:textId="77777777" w:rsidR="006A5129" w:rsidRPr="006A5129" w:rsidRDefault="006A5129" w:rsidP="00A369B4">
            <w:pPr>
              <w:rPr>
                <w:rFonts w:ascii="Century Gothic" w:hAnsi="Century Gothic"/>
                <w:sz w:val="20"/>
                <w:szCs w:val="20"/>
              </w:rPr>
            </w:pPr>
            <w:r w:rsidRPr="006A5129">
              <w:rPr>
                <w:rFonts w:ascii="Century Gothic" w:hAnsi="Century Gothic"/>
                <w:sz w:val="20"/>
                <w:szCs w:val="20"/>
              </w:rPr>
              <w:t>Fall 2025</w:t>
            </w:r>
          </w:p>
        </w:tc>
        <w:tc>
          <w:tcPr>
            <w:tcW w:w="6097" w:type="dxa"/>
          </w:tcPr>
          <w:p w14:paraId="2F6A9A85" w14:textId="77777777" w:rsidR="006A5129" w:rsidRPr="006A5129" w:rsidRDefault="006A5129" w:rsidP="00A369B4">
            <w:pPr>
              <w:rPr>
                <w:rFonts w:ascii="Century Gothic" w:hAnsi="Century Gothic"/>
                <w:sz w:val="20"/>
                <w:szCs w:val="20"/>
              </w:rPr>
            </w:pPr>
            <w:r w:rsidRPr="006A5129">
              <w:rPr>
                <w:rFonts w:ascii="Century Gothic" w:hAnsi="Century Gothic"/>
                <w:sz w:val="20"/>
                <w:szCs w:val="20"/>
              </w:rPr>
              <w:t xml:space="preserve">Attend CAH or RHC webinar series. </w:t>
            </w:r>
          </w:p>
        </w:tc>
      </w:tr>
      <w:tr w:rsidR="006A5129" w14:paraId="1A3517E7" w14:textId="77777777" w:rsidTr="00664855">
        <w:tc>
          <w:tcPr>
            <w:tcW w:w="2425" w:type="dxa"/>
          </w:tcPr>
          <w:p w14:paraId="26F3CF02" w14:textId="77777777" w:rsidR="006A5129" w:rsidRPr="006A5129" w:rsidRDefault="006A5129" w:rsidP="00A369B4">
            <w:pPr>
              <w:rPr>
                <w:rFonts w:ascii="Century Gothic" w:hAnsi="Century Gothic"/>
                <w:b/>
                <w:sz w:val="20"/>
                <w:szCs w:val="20"/>
              </w:rPr>
            </w:pPr>
            <w:r>
              <w:rPr>
                <w:rFonts w:ascii="Century Gothic" w:hAnsi="Century Gothic"/>
                <w:b/>
                <w:sz w:val="20"/>
                <w:szCs w:val="20"/>
              </w:rPr>
              <w:t>RHC Workshop</w:t>
            </w:r>
          </w:p>
        </w:tc>
        <w:tc>
          <w:tcPr>
            <w:tcW w:w="1980" w:type="dxa"/>
          </w:tcPr>
          <w:p w14:paraId="72594B1A" w14:textId="77777777" w:rsidR="006A5129" w:rsidRPr="006A5129" w:rsidRDefault="006A5129" w:rsidP="00A369B4">
            <w:pPr>
              <w:rPr>
                <w:rFonts w:ascii="Century Gothic" w:hAnsi="Century Gothic"/>
                <w:sz w:val="20"/>
                <w:szCs w:val="20"/>
              </w:rPr>
            </w:pPr>
            <w:r>
              <w:rPr>
                <w:rFonts w:ascii="Century Gothic" w:hAnsi="Century Gothic"/>
                <w:sz w:val="20"/>
                <w:szCs w:val="20"/>
              </w:rPr>
              <w:t>Late Spring 2026</w:t>
            </w:r>
          </w:p>
        </w:tc>
        <w:tc>
          <w:tcPr>
            <w:tcW w:w="6097" w:type="dxa"/>
          </w:tcPr>
          <w:p w14:paraId="66A31A4E" w14:textId="77777777" w:rsidR="006A5129" w:rsidRPr="006A5129" w:rsidRDefault="006A5129" w:rsidP="00A369B4">
            <w:pPr>
              <w:rPr>
                <w:rFonts w:ascii="Century Gothic" w:hAnsi="Century Gothic"/>
                <w:sz w:val="20"/>
                <w:szCs w:val="20"/>
              </w:rPr>
            </w:pPr>
            <w:r>
              <w:rPr>
                <w:rFonts w:ascii="Century Gothic" w:hAnsi="Century Gothic"/>
                <w:sz w:val="20"/>
                <w:szCs w:val="20"/>
              </w:rPr>
              <w:t>Attend in person workshop, and participate in multiple day learning opportunities.</w:t>
            </w:r>
          </w:p>
        </w:tc>
      </w:tr>
      <w:tr w:rsidR="006A5129" w14:paraId="3FA3A80B" w14:textId="77777777" w:rsidTr="00664855">
        <w:tc>
          <w:tcPr>
            <w:tcW w:w="2425" w:type="dxa"/>
          </w:tcPr>
          <w:p w14:paraId="01E2AC2C" w14:textId="77777777" w:rsidR="006A5129" w:rsidRPr="006A5129" w:rsidRDefault="006A5129" w:rsidP="00A369B4">
            <w:pPr>
              <w:rPr>
                <w:rFonts w:ascii="Century Gothic" w:hAnsi="Century Gothic"/>
                <w:b/>
                <w:sz w:val="20"/>
                <w:szCs w:val="20"/>
              </w:rPr>
            </w:pPr>
            <w:r>
              <w:rPr>
                <w:rFonts w:ascii="Century Gothic" w:hAnsi="Century Gothic"/>
                <w:b/>
                <w:sz w:val="20"/>
                <w:szCs w:val="20"/>
              </w:rPr>
              <w:t>Revenue Cycle Workshop</w:t>
            </w:r>
          </w:p>
        </w:tc>
        <w:tc>
          <w:tcPr>
            <w:tcW w:w="1980" w:type="dxa"/>
          </w:tcPr>
          <w:p w14:paraId="6FF3D0C0" w14:textId="77777777" w:rsidR="006A5129" w:rsidRPr="006A5129" w:rsidRDefault="006A5129" w:rsidP="00A369B4">
            <w:pPr>
              <w:rPr>
                <w:rFonts w:ascii="Century Gothic" w:hAnsi="Century Gothic"/>
                <w:sz w:val="20"/>
                <w:szCs w:val="20"/>
              </w:rPr>
            </w:pPr>
            <w:r>
              <w:rPr>
                <w:rFonts w:ascii="Century Gothic" w:hAnsi="Century Gothic"/>
                <w:sz w:val="20"/>
                <w:szCs w:val="20"/>
              </w:rPr>
              <w:t>Late Spring 2026</w:t>
            </w:r>
          </w:p>
        </w:tc>
        <w:tc>
          <w:tcPr>
            <w:tcW w:w="6097" w:type="dxa"/>
          </w:tcPr>
          <w:p w14:paraId="779C3B80" w14:textId="77777777" w:rsidR="006A5129" w:rsidRPr="006A5129" w:rsidRDefault="006A5129" w:rsidP="00A369B4">
            <w:pPr>
              <w:rPr>
                <w:rFonts w:ascii="Century Gothic" w:hAnsi="Century Gothic"/>
                <w:b/>
                <w:sz w:val="20"/>
                <w:szCs w:val="20"/>
              </w:rPr>
            </w:pPr>
            <w:r>
              <w:rPr>
                <w:rFonts w:ascii="Century Gothic" w:hAnsi="Century Gothic"/>
                <w:sz w:val="20"/>
                <w:szCs w:val="20"/>
              </w:rPr>
              <w:t>Attend in person workshop, and participate in multiple day learning opportunities.</w:t>
            </w:r>
          </w:p>
        </w:tc>
      </w:tr>
    </w:tbl>
    <w:p w14:paraId="0472824B" w14:textId="77777777" w:rsidR="006A5129" w:rsidRDefault="006A5129" w:rsidP="00A369B4">
      <w:pPr>
        <w:rPr>
          <w:rFonts w:ascii="Century Gothic" w:hAnsi="Century Gothic"/>
          <w:b/>
          <w:sz w:val="28"/>
        </w:rPr>
      </w:pPr>
    </w:p>
    <w:sectPr w:rsidR="006A5129" w:rsidSect="00CC063B">
      <w:headerReference w:type="default" r:id="rId9"/>
      <w:footerReference w:type="default" r:id="rId10"/>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8096" w14:textId="77777777" w:rsidR="007D226A" w:rsidRDefault="007D226A" w:rsidP="007D226A">
      <w:pPr>
        <w:spacing w:after="0" w:line="240" w:lineRule="auto"/>
      </w:pPr>
      <w:r>
        <w:separator/>
      </w:r>
    </w:p>
  </w:endnote>
  <w:endnote w:type="continuationSeparator" w:id="0">
    <w:p w14:paraId="7886A52C" w14:textId="77777777" w:rsidR="007D226A" w:rsidRDefault="007D226A" w:rsidP="007D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5B9D" w14:textId="77777777" w:rsidR="007D226A" w:rsidRDefault="00A41239" w:rsidP="007D226A">
    <w:pPr>
      <w:widowControl w:val="0"/>
      <w:spacing w:after="0"/>
    </w:pPr>
    <w:r w:rsidRPr="00A41239">
      <w:rPr>
        <w:kern w:val="24"/>
        <w:sz w:val="16"/>
        <w:szCs w:val="16"/>
      </w:rPr>
      <w:t xml:space="preserve">This project is supported by the Health Resources and Services Administration (HRSA) of the U.S. Department of Health and Human Services (HHS) as part of an award totaling </w:t>
    </w:r>
    <w:r w:rsidRPr="00E115C9">
      <w:rPr>
        <w:kern w:val="24"/>
        <w:sz w:val="16"/>
        <w:szCs w:val="16"/>
        <w:highlight w:val="yellow"/>
      </w:rPr>
      <w:t>$</w:t>
    </w:r>
    <w:r w:rsidR="00967D8A">
      <w:rPr>
        <w:kern w:val="24"/>
        <w:sz w:val="16"/>
        <w:szCs w:val="16"/>
        <w:highlight w:val="yellow"/>
      </w:rPr>
      <w:t>928,510</w:t>
    </w:r>
    <w:r w:rsidRPr="00A41239">
      <w:rPr>
        <w:kern w:val="24"/>
        <w:sz w:val="16"/>
        <w:szCs w:val="16"/>
      </w:rPr>
      <w:t xml:space="preserve"> with 0% financed with non-governmental sources.  The contents are those of the author(s) and do not necessarily represent the official views of, nor an endorsement, by MT DPHHS, Montana Hospital Association, HRSA, HHS, or the U.S. Government.</w:t>
    </w:r>
    <w:r w:rsidR="00E04FE9">
      <w:ptab w:relativeTo="margin" w:alignment="right" w:leader="none"/>
    </w:r>
    <w:r w:rsidR="00E04FE9">
      <w:fldChar w:fldCharType="begin"/>
    </w:r>
    <w:r w:rsidR="00E04FE9">
      <w:instrText xml:space="preserve"> PAGE   \* MERGEFORMAT </w:instrText>
    </w:r>
    <w:r w:rsidR="00E04FE9">
      <w:fldChar w:fldCharType="separate"/>
    </w:r>
    <w:r w:rsidR="00121A15">
      <w:rPr>
        <w:noProof/>
      </w:rPr>
      <w:t>3</w:t>
    </w:r>
    <w:r w:rsidR="00E04FE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95FE" w14:textId="77777777" w:rsidR="007D226A" w:rsidRDefault="007D226A" w:rsidP="007D226A">
      <w:pPr>
        <w:spacing w:after="0" w:line="240" w:lineRule="auto"/>
      </w:pPr>
      <w:r>
        <w:separator/>
      </w:r>
    </w:p>
  </w:footnote>
  <w:footnote w:type="continuationSeparator" w:id="0">
    <w:p w14:paraId="61BE0D1A" w14:textId="77777777" w:rsidR="007D226A" w:rsidRDefault="007D226A" w:rsidP="007D2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6BE0" w14:textId="77777777" w:rsidR="007D226A" w:rsidRPr="007D226A" w:rsidRDefault="007D226A" w:rsidP="007D226A">
    <w:pPr>
      <w:spacing w:after="0" w:line="240" w:lineRule="auto"/>
      <w:jc w:val="center"/>
      <w:rPr>
        <w:rFonts w:ascii="Century Gothic" w:hAnsi="Century Gothic"/>
        <w:b/>
        <w:sz w:val="28"/>
      </w:rPr>
    </w:pPr>
    <w:r>
      <w:rPr>
        <w:rFonts w:ascii="Century Gothic" w:hAnsi="Century Gothic"/>
        <w:b/>
        <w:noProof/>
        <w:sz w:val="28"/>
      </w:rPr>
      <w:drawing>
        <wp:anchor distT="0" distB="0" distL="114300" distR="114300" simplePos="0" relativeHeight="251657216" behindDoc="0" locked="0" layoutInCell="1" allowOverlap="1" wp14:anchorId="19EFE65C" wp14:editId="2365123E">
          <wp:simplePos x="0" y="0"/>
          <wp:positionH relativeFrom="column">
            <wp:posOffset>-281684</wp:posOffset>
          </wp:positionH>
          <wp:positionV relativeFrom="paragraph">
            <wp:posOffset>-209550</wp:posOffset>
          </wp:positionV>
          <wp:extent cx="1018663" cy="6400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green-rg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663" cy="640080"/>
                  </a:xfrm>
                  <a:prstGeom prst="rect">
                    <a:avLst/>
                  </a:prstGeom>
                </pic:spPr>
              </pic:pic>
            </a:graphicData>
          </a:graphic>
          <wp14:sizeRelH relativeFrom="margin">
            <wp14:pctWidth>0</wp14:pctWidth>
          </wp14:sizeRelH>
        </wp:anchor>
      </w:drawing>
    </w:r>
    <w:r w:rsidRPr="00D46D0D">
      <w:rPr>
        <w:rFonts w:ascii="Century Gothic" w:hAnsi="Century Gothic"/>
        <w:b/>
        <w:sz w:val="28"/>
      </w:rPr>
      <w:t xml:space="preserve">MT </w:t>
    </w:r>
    <w:r w:rsidR="00B82E04">
      <w:rPr>
        <w:rFonts w:ascii="Century Gothic" w:hAnsi="Century Gothic"/>
        <w:b/>
        <w:sz w:val="28"/>
      </w:rPr>
      <w:t>PIN</w:t>
    </w:r>
    <w:r>
      <w:rPr>
        <w:rFonts w:ascii="Century Gothic" w:hAnsi="Century Gothic"/>
        <w:b/>
        <w:sz w:val="28"/>
      </w:rPr>
      <w:t xml:space="preserve"> AWARD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A82"/>
    <w:multiLevelType w:val="hybridMultilevel"/>
    <w:tmpl w:val="D4BE000E"/>
    <w:lvl w:ilvl="0" w:tplc="D58873CC">
      <w:start w:val="1"/>
      <w:numFmt w:val="bullet"/>
      <w:lvlText w:val=""/>
      <w:lvlJc w:val="left"/>
      <w:pPr>
        <w:ind w:left="360" w:hanging="360"/>
      </w:pPr>
      <w:rPr>
        <w:rFonts w:ascii="Wingdings 2" w:hAnsi="Wingdings 2" w:hint="default"/>
      </w:rPr>
    </w:lvl>
    <w:lvl w:ilvl="1" w:tplc="D58873CC">
      <w:start w:val="1"/>
      <w:numFmt w:val="bullet"/>
      <w:lvlText w:val=""/>
      <w:lvlJc w:val="left"/>
      <w:pPr>
        <w:ind w:left="1080" w:hanging="360"/>
      </w:pPr>
      <w:rPr>
        <w:rFonts w:ascii="Wingdings 2" w:hAnsi="Wingdings 2"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4728FF"/>
    <w:multiLevelType w:val="hybridMultilevel"/>
    <w:tmpl w:val="FDD097B8"/>
    <w:lvl w:ilvl="0" w:tplc="D58873CC">
      <w:start w:val="1"/>
      <w:numFmt w:val="bullet"/>
      <w:lvlText w:val=""/>
      <w:lvlJc w:val="left"/>
      <w:pPr>
        <w:ind w:left="720" w:hanging="360"/>
      </w:pPr>
      <w:rPr>
        <w:rFonts w:ascii="Wingdings 2" w:hAnsi="Wingdings 2" w:hint="default"/>
      </w:rPr>
    </w:lvl>
    <w:lvl w:ilvl="1" w:tplc="D58873CC">
      <w:start w:val="1"/>
      <w:numFmt w:val="bullet"/>
      <w:lvlText w:val=""/>
      <w:lvlJc w:val="left"/>
      <w:pPr>
        <w:ind w:left="1440" w:hanging="360"/>
      </w:pPr>
      <w:rPr>
        <w:rFonts w:ascii="Wingdings 2" w:hAnsi="Wingdings 2" w:hint="default"/>
      </w:rPr>
    </w:lvl>
    <w:lvl w:ilvl="2" w:tplc="D58873CC">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36042"/>
    <w:multiLevelType w:val="hybridMultilevel"/>
    <w:tmpl w:val="F6A2527C"/>
    <w:lvl w:ilvl="0" w:tplc="04090001">
      <w:start w:val="1"/>
      <w:numFmt w:val="bullet"/>
      <w:lvlText w:val=""/>
      <w:lvlJc w:val="left"/>
      <w:pPr>
        <w:ind w:left="1080" w:hanging="360"/>
      </w:pPr>
      <w:rPr>
        <w:rFonts w:ascii="Symbol" w:hAnsi="Symbol" w:hint="default"/>
      </w:rPr>
    </w:lvl>
    <w:lvl w:ilvl="1" w:tplc="D58873CC">
      <w:start w:val="1"/>
      <w:numFmt w:val="bullet"/>
      <w:lvlText w:val=""/>
      <w:lvlJc w:val="left"/>
      <w:pPr>
        <w:ind w:left="1800" w:hanging="360"/>
      </w:pPr>
      <w:rPr>
        <w:rFonts w:ascii="Wingdings 2" w:hAnsi="Wingdings 2"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D140F38"/>
    <w:multiLevelType w:val="hybridMultilevel"/>
    <w:tmpl w:val="2FD8D8A8"/>
    <w:lvl w:ilvl="0" w:tplc="D3584F80">
      <w:start w:val="1"/>
      <w:numFmt w:val="bullet"/>
      <w:lvlText w:val=""/>
      <w:lvlJc w:val="left"/>
      <w:pPr>
        <w:ind w:left="78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F2C5C"/>
    <w:multiLevelType w:val="hybridMultilevel"/>
    <w:tmpl w:val="0D2C9A58"/>
    <w:lvl w:ilvl="0" w:tplc="3104D15A">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6D3687"/>
    <w:multiLevelType w:val="hybridMultilevel"/>
    <w:tmpl w:val="2CCCE3BE"/>
    <w:lvl w:ilvl="0" w:tplc="D58873CC">
      <w:start w:val="1"/>
      <w:numFmt w:val="bullet"/>
      <w:lvlText w:val=""/>
      <w:lvlJc w:val="left"/>
      <w:pPr>
        <w:ind w:left="1800" w:hanging="360"/>
      </w:pPr>
      <w:rPr>
        <w:rFonts w:ascii="Wingdings 2" w:hAnsi="Wingdings 2" w:hint="default"/>
      </w:rPr>
    </w:lvl>
    <w:lvl w:ilvl="1" w:tplc="D58873CC">
      <w:start w:val="1"/>
      <w:numFmt w:val="bullet"/>
      <w:lvlText w:val=""/>
      <w:lvlJc w:val="left"/>
      <w:pPr>
        <w:ind w:left="2520" w:hanging="360"/>
      </w:pPr>
      <w:rPr>
        <w:rFonts w:ascii="Wingdings 2" w:hAnsi="Wingdings 2"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3F781830"/>
    <w:multiLevelType w:val="hybridMultilevel"/>
    <w:tmpl w:val="2C10BF82"/>
    <w:lvl w:ilvl="0" w:tplc="D58873CC">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9B45C5"/>
    <w:multiLevelType w:val="hybridMultilevel"/>
    <w:tmpl w:val="D158B308"/>
    <w:lvl w:ilvl="0" w:tplc="D58873CC">
      <w:start w:val="1"/>
      <w:numFmt w:val="bullet"/>
      <w:lvlText w:val=""/>
      <w:lvlJc w:val="left"/>
      <w:pPr>
        <w:ind w:left="720" w:hanging="360"/>
      </w:pPr>
      <w:rPr>
        <w:rFonts w:ascii="Wingdings 2" w:hAnsi="Wingdings 2"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23A5F"/>
    <w:multiLevelType w:val="hybridMultilevel"/>
    <w:tmpl w:val="57AA7DFC"/>
    <w:lvl w:ilvl="0" w:tplc="D58873CC">
      <w:start w:val="1"/>
      <w:numFmt w:val="bullet"/>
      <w:lvlText w:val=""/>
      <w:lvlJc w:val="left"/>
      <w:pPr>
        <w:ind w:left="1080" w:hanging="360"/>
      </w:pPr>
      <w:rPr>
        <w:rFonts w:ascii="Wingdings 2" w:hAnsi="Wingdings 2"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604619"/>
    <w:multiLevelType w:val="hybridMultilevel"/>
    <w:tmpl w:val="DC0C4CAC"/>
    <w:lvl w:ilvl="0" w:tplc="D58873CC">
      <w:start w:val="1"/>
      <w:numFmt w:val="bullet"/>
      <w:lvlText w:val=""/>
      <w:lvlJc w:val="left"/>
      <w:pPr>
        <w:ind w:left="720" w:hanging="360"/>
      </w:pPr>
      <w:rPr>
        <w:rFonts w:ascii="Wingdings 2" w:hAnsi="Wingdings 2" w:hint="default"/>
      </w:rPr>
    </w:lvl>
    <w:lvl w:ilvl="1" w:tplc="D58873CC">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D4BAF"/>
    <w:multiLevelType w:val="hybridMultilevel"/>
    <w:tmpl w:val="56E26F82"/>
    <w:lvl w:ilvl="0" w:tplc="A5D8EBF4">
      <w:start w:val="1"/>
      <w:numFmt w:val="bullet"/>
      <w:lvlText w:val=""/>
      <w:lvlJc w:val="left"/>
      <w:pPr>
        <w:ind w:left="78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22BEE"/>
    <w:multiLevelType w:val="hybridMultilevel"/>
    <w:tmpl w:val="56FC9BCC"/>
    <w:lvl w:ilvl="0" w:tplc="D58873CC">
      <w:start w:val="1"/>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3AF4E53"/>
    <w:multiLevelType w:val="hybridMultilevel"/>
    <w:tmpl w:val="DD663D74"/>
    <w:lvl w:ilvl="0" w:tplc="39DC173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ED456C"/>
    <w:multiLevelType w:val="hybridMultilevel"/>
    <w:tmpl w:val="E352596C"/>
    <w:lvl w:ilvl="0" w:tplc="D58873C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D4015"/>
    <w:multiLevelType w:val="hybridMultilevel"/>
    <w:tmpl w:val="3A8804CC"/>
    <w:lvl w:ilvl="0" w:tplc="D58873CC">
      <w:start w:val="1"/>
      <w:numFmt w:val="bullet"/>
      <w:lvlText w:val=""/>
      <w:lvlJc w:val="left"/>
      <w:pPr>
        <w:ind w:left="720" w:hanging="360"/>
      </w:pPr>
      <w:rPr>
        <w:rFonts w:ascii="Wingdings 2" w:hAnsi="Wingdings 2" w:hint="default"/>
      </w:rPr>
    </w:lvl>
    <w:lvl w:ilvl="1" w:tplc="D58873CC">
      <w:start w:val="1"/>
      <w:numFmt w:val="bullet"/>
      <w:lvlText w:val=""/>
      <w:lvlJc w:val="left"/>
      <w:pPr>
        <w:ind w:left="1440" w:hanging="360"/>
      </w:pPr>
      <w:rPr>
        <w:rFonts w:ascii="Wingdings 2" w:hAnsi="Wingdings 2"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D0502D"/>
    <w:multiLevelType w:val="hybridMultilevel"/>
    <w:tmpl w:val="3C9C9F92"/>
    <w:lvl w:ilvl="0" w:tplc="D58873CC">
      <w:start w:val="1"/>
      <w:numFmt w:val="bullet"/>
      <w:lvlText w:val=""/>
      <w:lvlJc w:val="left"/>
      <w:pPr>
        <w:ind w:left="720" w:hanging="360"/>
      </w:pPr>
      <w:rPr>
        <w:rFonts w:ascii="Wingdings 2" w:hAnsi="Wingdings 2" w:hint="default"/>
      </w:rPr>
    </w:lvl>
    <w:lvl w:ilvl="1" w:tplc="D58873CC">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033290">
    <w:abstractNumId w:val="13"/>
  </w:num>
  <w:num w:numId="2" w16cid:durableId="1575554901">
    <w:abstractNumId w:val="15"/>
  </w:num>
  <w:num w:numId="3" w16cid:durableId="1366834186">
    <w:abstractNumId w:val="7"/>
  </w:num>
  <w:num w:numId="4" w16cid:durableId="1371808385">
    <w:abstractNumId w:val="14"/>
  </w:num>
  <w:num w:numId="5" w16cid:durableId="178663590">
    <w:abstractNumId w:val="6"/>
  </w:num>
  <w:num w:numId="6" w16cid:durableId="1755785901">
    <w:abstractNumId w:val="9"/>
  </w:num>
  <w:num w:numId="7" w16cid:durableId="1342852783">
    <w:abstractNumId w:val="0"/>
  </w:num>
  <w:num w:numId="8" w16cid:durableId="839200062">
    <w:abstractNumId w:val="8"/>
  </w:num>
  <w:num w:numId="9" w16cid:durableId="295258092">
    <w:abstractNumId w:val="10"/>
  </w:num>
  <w:num w:numId="10" w16cid:durableId="657078088">
    <w:abstractNumId w:val="4"/>
  </w:num>
  <w:num w:numId="11" w16cid:durableId="102001662">
    <w:abstractNumId w:val="3"/>
  </w:num>
  <w:num w:numId="12" w16cid:durableId="634406951">
    <w:abstractNumId w:val="1"/>
  </w:num>
  <w:num w:numId="13" w16cid:durableId="2127693053">
    <w:abstractNumId w:val="11"/>
  </w:num>
  <w:num w:numId="14" w16cid:durableId="378868711">
    <w:abstractNumId w:val="2"/>
  </w:num>
  <w:num w:numId="15" w16cid:durableId="18360295">
    <w:abstractNumId w:val="5"/>
  </w:num>
  <w:num w:numId="16" w16cid:durableId="1246232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06"/>
    <w:rsid w:val="0001236E"/>
    <w:rsid w:val="000C34C1"/>
    <w:rsid w:val="000E7B91"/>
    <w:rsid w:val="000F14DA"/>
    <w:rsid w:val="00120083"/>
    <w:rsid w:val="00121A15"/>
    <w:rsid w:val="00121ED3"/>
    <w:rsid w:val="00144574"/>
    <w:rsid w:val="0023406E"/>
    <w:rsid w:val="00236F41"/>
    <w:rsid w:val="0024076E"/>
    <w:rsid w:val="00243CE8"/>
    <w:rsid w:val="00255106"/>
    <w:rsid w:val="00271168"/>
    <w:rsid w:val="002F768A"/>
    <w:rsid w:val="00301C20"/>
    <w:rsid w:val="00325D3C"/>
    <w:rsid w:val="00332F59"/>
    <w:rsid w:val="00393187"/>
    <w:rsid w:val="00394B6D"/>
    <w:rsid w:val="003A70AA"/>
    <w:rsid w:val="003C43F3"/>
    <w:rsid w:val="003D4B06"/>
    <w:rsid w:val="00420244"/>
    <w:rsid w:val="00423A4D"/>
    <w:rsid w:val="0045794B"/>
    <w:rsid w:val="0047704A"/>
    <w:rsid w:val="0050669C"/>
    <w:rsid w:val="00510AA8"/>
    <w:rsid w:val="00527822"/>
    <w:rsid w:val="005547B5"/>
    <w:rsid w:val="00562B9A"/>
    <w:rsid w:val="0057548B"/>
    <w:rsid w:val="005942EB"/>
    <w:rsid w:val="005C03F2"/>
    <w:rsid w:val="005E6912"/>
    <w:rsid w:val="006133F7"/>
    <w:rsid w:val="00630012"/>
    <w:rsid w:val="00664855"/>
    <w:rsid w:val="00690C06"/>
    <w:rsid w:val="006A4BA4"/>
    <w:rsid w:val="006A5129"/>
    <w:rsid w:val="006C4683"/>
    <w:rsid w:val="00700FA9"/>
    <w:rsid w:val="0071262D"/>
    <w:rsid w:val="00716F0C"/>
    <w:rsid w:val="00730170"/>
    <w:rsid w:val="00755340"/>
    <w:rsid w:val="007D226A"/>
    <w:rsid w:val="007E0CA7"/>
    <w:rsid w:val="007F631B"/>
    <w:rsid w:val="008056A7"/>
    <w:rsid w:val="00817105"/>
    <w:rsid w:val="00876D92"/>
    <w:rsid w:val="009043C2"/>
    <w:rsid w:val="00914CE0"/>
    <w:rsid w:val="00954DD6"/>
    <w:rsid w:val="0095703A"/>
    <w:rsid w:val="00967D8A"/>
    <w:rsid w:val="009705F7"/>
    <w:rsid w:val="0097760A"/>
    <w:rsid w:val="00992AFD"/>
    <w:rsid w:val="009A3335"/>
    <w:rsid w:val="009A78C0"/>
    <w:rsid w:val="009D2682"/>
    <w:rsid w:val="009D40A3"/>
    <w:rsid w:val="009E0C6B"/>
    <w:rsid w:val="009E62EC"/>
    <w:rsid w:val="009F280C"/>
    <w:rsid w:val="009F6C13"/>
    <w:rsid w:val="00A369B4"/>
    <w:rsid w:val="00A41239"/>
    <w:rsid w:val="00A449B4"/>
    <w:rsid w:val="00B2467D"/>
    <w:rsid w:val="00B24F5A"/>
    <w:rsid w:val="00B45C9A"/>
    <w:rsid w:val="00B63953"/>
    <w:rsid w:val="00B81B94"/>
    <w:rsid w:val="00B82E04"/>
    <w:rsid w:val="00BB3EA6"/>
    <w:rsid w:val="00BE3BD9"/>
    <w:rsid w:val="00BF2BBD"/>
    <w:rsid w:val="00C05120"/>
    <w:rsid w:val="00C074B3"/>
    <w:rsid w:val="00C46464"/>
    <w:rsid w:val="00C91F5E"/>
    <w:rsid w:val="00C961DB"/>
    <w:rsid w:val="00CA0EDF"/>
    <w:rsid w:val="00CA5D22"/>
    <w:rsid w:val="00CB0116"/>
    <w:rsid w:val="00CB0DDC"/>
    <w:rsid w:val="00CC063B"/>
    <w:rsid w:val="00CD75C4"/>
    <w:rsid w:val="00D03FC0"/>
    <w:rsid w:val="00D3174C"/>
    <w:rsid w:val="00D44617"/>
    <w:rsid w:val="00D465F9"/>
    <w:rsid w:val="00D46D0D"/>
    <w:rsid w:val="00D76925"/>
    <w:rsid w:val="00D91131"/>
    <w:rsid w:val="00D91848"/>
    <w:rsid w:val="00DA2866"/>
    <w:rsid w:val="00DF3976"/>
    <w:rsid w:val="00E02B66"/>
    <w:rsid w:val="00E04FE9"/>
    <w:rsid w:val="00E115C9"/>
    <w:rsid w:val="00E155CB"/>
    <w:rsid w:val="00E441A1"/>
    <w:rsid w:val="00E866B9"/>
    <w:rsid w:val="00EB3826"/>
    <w:rsid w:val="00EB3BC6"/>
    <w:rsid w:val="00EB7C84"/>
    <w:rsid w:val="00EC29BD"/>
    <w:rsid w:val="00F4649E"/>
    <w:rsid w:val="00F62B27"/>
    <w:rsid w:val="00F823FB"/>
    <w:rsid w:val="00F9678B"/>
    <w:rsid w:val="00FB2F27"/>
    <w:rsid w:val="00FC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FC472BF"/>
  <w15:chartTrackingRefBased/>
  <w15:docId w15:val="{6C00E9EF-D453-4C00-8904-62C297CC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link w:val="Heading5Char"/>
    <w:uiPriority w:val="9"/>
    <w:qFormat/>
    <w:rsid w:val="003D4B06"/>
    <w:pPr>
      <w:spacing w:after="120" w:line="285" w:lineRule="auto"/>
      <w:outlineLvl w:val="4"/>
    </w:pPr>
    <w:rPr>
      <w:rFonts w:ascii="Cambria" w:eastAsia="Times New Roman" w:hAnsi="Cambria" w:cs="Times New Roman"/>
      <w:color w:val="000000"/>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D4B06"/>
    <w:rPr>
      <w:rFonts w:ascii="Cambria" w:eastAsia="Times New Roman" w:hAnsi="Cambria" w:cs="Times New Roman"/>
      <w:color w:val="000000"/>
      <w:kern w:val="28"/>
      <w:sz w:val="28"/>
      <w:szCs w:val="28"/>
      <w14:ligatures w14:val="standard"/>
      <w14:cntxtAlts/>
    </w:rPr>
  </w:style>
  <w:style w:type="paragraph" w:styleId="ListParagraph">
    <w:name w:val="List Paragraph"/>
    <w:basedOn w:val="Normal"/>
    <w:uiPriority w:val="34"/>
    <w:qFormat/>
    <w:rsid w:val="0095703A"/>
    <w:pPr>
      <w:ind w:left="720"/>
      <w:contextualSpacing/>
    </w:pPr>
  </w:style>
  <w:style w:type="table" w:styleId="TableGrid">
    <w:name w:val="Table Grid"/>
    <w:basedOn w:val="TableNormal"/>
    <w:uiPriority w:val="39"/>
    <w:rsid w:val="007D2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26A"/>
    <w:rPr>
      <w:color w:val="0563C1" w:themeColor="hyperlink"/>
      <w:u w:val="single"/>
    </w:rPr>
  </w:style>
  <w:style w:type="paragraph" w:styleId="Header">
    <w:name w:val="header"/>
    <w:basedOn w:val="Normal"/>
    <w:link w:val="HeaderChar"/>
    <w:uiPriority w:val="99"/>
    <w:unhideWhenUsed/>
    <w:rsid w:val="007D2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6A"/>
  </w:style>
  <w:style w:type="paragraph" w:styleId="Footer">
    <w:name w:val="footer"/>
    <w:basedOn w:val="Normal"/>
    <w:link w:val="FooterChar"/>
    <w:uiPriority w:val="99"/>
    <w:unhideWhenUsed/>
    <w:rsid w:val="007D2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6A"/>
  </w:style>
  <w:style w:type="table" w:styleId="GridTable1Light">
    <w:name w:val="Grid Table 1 Light"/>
    <w:basedOn w:val="TableNormal"/>
    <w:uiPriority w:val="46"/>
    <w:rsid w:val="00332F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E04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FE9"/>
    <w:rPr>
      <w:rFonts w:ascii="Segoe UI" w:hAnsi="Segoe UI" w:cs="Segoe UI"/>
      <w:sz w:val="18"/>
      <w:szCs w:val="18"/>
    </w:rPr>
  </w:style>
  <w:style w:type="table" w:styleId="GridTable1Light-Accent1">
    <w:name w:val="Grid Table 1 Light Accent 1"/>
    <w:basedOn w:val="TableNormal"/>
    <w:uiPriority w:val="46"/>
    <w:rsid w:val="00C961D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271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704A"/>
    <w:pPr>
      <w:spacing w:after="0" w:line="240" w:lineRule="auto"/>
    </w:pPr>
  </w:style>
  <w:style w:type="character" w:styleId="UnresolvedMention">
    <w:name w:val="Unresolved Mention"/>
    <w:basedOn w:val="DefaultParagraphFont"/>
    <w:uiPriority w:val="99"/>
    <w:semiHidden/>
    <w:unhideWhenUsed/>
    <w:rsid w:val="00904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567">
      <w:bodyDiv w:val="1"/>
      <w:marLeft w:val="0"/>
      <w:marRight w:val="0"/>
      <w:marTop w:val="0"/>
      <w:marBottom w:val="0"/>
      <w:divBdr>
        <w:top w:val="none" w:sz="0" w:space="0" w:color="auto"/>
        <w:left w:val="none" w:sz="0" w:space="0" w:color="auto"/>
        <w:bottom w:val="none" w:sz="0" w:space="0" w:color="auto"/>
        <w:right w:val="none" w:sz="0" w:space="0" w:color="auto"/>
      </w:divBdr>
    </w:div>
    <w:div w:id="150828314">
      <w:bodyDiv w:val="1"/>
      <w:marLeft w:val="0"/>
      <w:marRight w:val="0"/>
      <w:marTop w:val="0"/>
      <w:marBottom w:val="0"/>
      <w:divBdr>
        <w:top w:val="none" w:sz="0" w:space="0" w:color="auto"/>
        <w:left w:val="none" w:sz="0" w:space="0" w:color="auto"/>
        <w:bottom w:val="none" w:sz="0" w:space="0" w:color="auto"/>
        <w:right w:val="none" w:sz="0" w:space="0" w:color="auto"/>
      </w:divBdr>
    </w:div>
    <w:div w:id="359862519">
      <w:bodyDiv w:val="1"/>
      <w:marLeft w:val="0"/>
      <w:marRight w:val="0"/>
      <w:marTop w:val="0"/>
      <w:marBottom w:val="0"/>
      <w:divBdr>
        <w:top w:val="none" w:sz="0" w:space="0" w:color="auto"/>
        <w:left w:val="none" w:sz="0" w:space="0" w:color="auto"/>
        <w:bottom w:val="none" w:sz="0" w:space="0" w:color="auto"/>
        <w:right w:val="none" w:sz="0" w:space="0" w:color="auto"/>
      </w:divBdr>
    </w:div>
    <w:div w:id="366873641">
      <w:bodyDiv w:val="1"/>
      <w:marLeft w:val="0"/>
      <w:marRight w:val="0"/>
      <w:marTop w:val="0"/>
      <w:marBottom w:val="0"/>
      <w:divBdr>
        <w:top w:val="none" w:sz="0" w:space="0" w:color="auto"/>
        <w:left w:val="none" w:sz="0" w:space="0" w:color="auto"/>
        <w:bottom w:val="none" w:sz="0" w:space="0" w:color="auto"/>
        <w:right w:val="none" w:sz="0" w:space="0" w:color="auto"/>
      </w:divBdr>
    </w:div>
    <w:div w:id="393236142">
      <w:bodyDiv w:val="1"/>
      <w:marLeft w:val="0"/>
      <w:marRight w:val="0"/>
      <w:marTop w:val="0"/>
      <w:marBottom w:val="0"/>
      <w:divBdr>
        <w:top w:val="none" w:sz="0" w:space="0" w:color="auto"/>
        <w:left w:val="none" w:sz="0" w:space="0" w:color="auto"/>
        <w:bottom w:val="none" w:sz="0" w:space="0" w:color="auto"/>
        <w:right w:val="none" w:sz="0" w:space="0" w:color="auto"/>
      </w:divBdr>
    </w:div>
    <w:div w:id="395787367">
      <w:bodyDiv w:val="1"/>
      <w:marLeft w:val="0"/>
      <w:marRight w:val="0"/>
      <w:marTop w:val="0"/>
      <w:marBottom w:val="0"/>
      <w:divBdr>
        <w:top w:val="none" w:sz="0" w:space="0" w:color="auto"/>
        <w:left w:val="none" w:sz="0" w:space="0" w:color="auto"/>
        <w:bottom w:val="none" w:sz="0" w:space="0" w:color="auto"/>
        <w:right w:val="none" w:sz="0" w:space="0" w:color="auto"/>
      </w:divBdr>
    </w:div>
    <w:div w:id="461966978">
      <w:bodyDiv w:val="1"/>
      <w:marLeft w:val="0"/>
      <w:marRight w:val="0"/>
      <w:marTop w:val="0"/>
      <w:marBottom w:val="0"/>
      <w:divBdr>
        <w:top w:val="none" w:sz="0" w:space="0" w:color="auto"/>
        <w:left w:val="none" w:sz="0" w:space="0" w:color="auto"/>
        <w:bottom w:val="none" w:sz="0" w:space="0" w:color="auto"/>
        <w:right w:val="none" w:sz="0" w:space="0" w:color="auto"/>
      </w:divBdr>
    </w:div>
    <w:div w:id="503741252">
      <w:bodyDiv w:val="1"/>
      <w:marLeft w:val="0"/>
      <w:marRight w:val="0"/>
      <w:marTop w:val="0"/>
      <w:marBottom w:val="0"/>
      <w:divBdr>
        <w:top w:val="none" w:sz="0" w:space="0" w:color="auto"/>
        <w:left w:val="none" w:sz="0" w:space="0" w:color="auto"/>
        <w:bottom w:val="none" w:sz="0" w:space="0" w:color="auto"/>
        <w:right w:val="none" w:sz="0" w:space="0" w:color="auto"/>
      </w:divBdr>
    </w:div>
    <w:div w:id="635179590">
      <w:bodyDiv w:val="1"/>
      <w:marLeft w:val="0"/>
      <w:marRight w:val="0"/>
      <w:marTop w:val="0"/>
      <w:marBottom w:val="0"/>
      <w:divBdr>
        <w:top w:val="none" w:sz="0" w:space="0" w:color="auto"/>
        <w:left w:val="none" w:sz="0" w:space="0" w:color="auto"/>
        <w:bottom w:val="none" w:sz="0" w:space="0" w:color="auto"/>
        <w:right w:val="none" w:sz="0" w:space="0" w:color="auto"/>
      </w:divBdr>
    </w:div>
    <w:div w:id="641498610">
      <w:bodyDiv w:val="1"/>
      <w:marLeft w:val="0"/>
      <w:marRight w:val="0"/>
      <w:marTop w:val="0"/>
      <w:marBottom w:val="0"/>
      <w:divBdr>
        <w:top w:val="none" w:sz="0" w:space="0" w:color="auto"/>
        <w:left w:val="none" w:sz="0" w:space="0" w:color="auto"/>
        <w:bottom w:val="none" w:sz="0" w:space="0" w:color="auto"/>
        <w:right w:val="none" w:sz="0" w:space="0" w:color="auto"/>
      </w:divBdr>
    </w:div>
    <w:div w:id="683239611">
      <w:bodyDiv w:val="1"/>
      <w:marLeft w:val="0"/>
      <w:marRight w:val="0"/>
      <w:marTop w:val="0"/>
      <w:marBottom w:val="0"/>
      <w:divBdr>
        <w:top w:val="none" w:sz="0" w:space="0" w:color="auto"/>
        <w:left w:val="none" w:sz="0" w:space="0" w:color="auto"/>
        <w:bottom w:val="none" w:sz="0" w:space="0" w:color="auto"/>
        <w:right w:val="none" w:sz="0" w:space="0" w:color="auto"/>
      </w:divBdr>
    </w:div>
    <w:div w:id="683824392">
      <w:bodyDiv w:val="1"/>
      <w:marLeft w:val="0"/>
      <w:marRight w:val="0"/>
      <w:marTop w:val="0"/>
      <w:marBottom w:val="0"/>
      <w:divBdr>
        <w:top w:val="none" w:sz="0" w:space="0" w:color="auto"/>
        <w:left w:val="none" w:sz="0" w:space="0" w:color="auto"/>
        <w:bottom w:val="none" w:sz="0" w:space="0" w:color="auto"/>
        <w:right w:val="none" w:sz="0" w:space="0" w:color="auto"/>
      </w:divBdr>
    </w:div>
    <w:div w:id="704523920">
      <w:bodyDiv w:val="1"/>
      <w:marLeft w:val="0"/>
      <w:marRight w:val="0"/>
      <w:marTop w:val="0"/>
      <w:marBottom w:val="0"/>
      <w:divBdr>
        <w:top w:val="none" w:sz="0" w:space="0" w:color="auto"/>
        <w:left w:val="none" w:sz="0" w:space="0" w:color="auto"/>
        <w:bottom w:val="none" w:sz="0" w:space="0" w:color="auto"/>
        <w:right w:val="none" w:sz="0" w:space="0" w:color="auto"/>
      </w:divBdr>
    </w:div>
    <w:div w:id="709769315">
      <w:bodyDiv w:val="1"/>
      <w:marLeft w:val="0"/>
      <w:marRight w:val="0"/>
      <w:marTop w:val="0"/>
      <w:marBottom w:val="0"/>
      <w:divBdr>
        <w:top w:val="none" w:sz="0" w:space="0" w:color="auto"/>
        <w:left w:val="none" w:sz="0" w:space="0" w:color="auto"/>
        <w:bottom w:val="none" w:sz="0" w:space="0" w:color="auto"/>
        <w:right w:val="none" w:sz="0" w:space="0" w:color="auto"/>
      </w:divBdr>
    </w:div>
    <w:div w:id="732041818">
      <w:bodyDiv w:val="1"/>
      <w:marLeft w:val="0"/>
      <w:marRight w:val="0"/>
      <w:marTop w:val="0"/>
      <w:marBottom w:val="0"/>
      <w:divBdr>
        <w:top w:val="none" w:sz="0" w:space="0" w:color="auto"/>
        <w:left w:val="none" w:sz="0" w:space="0" w:color="auto"/>
        <w:bottom w:val="none" w:sz="0" w:space="0" w:color="auto"/>
        <w:right w:val="none" w:sz="0" w:space="0" w:color="auto"/>
      </w:divBdr>
    </w:div>
    <w:div w:id="743064942">
      <w:bodyDiv w:val="1"/>
      <w:marLeft w:val="0"/>
      <w:marRight w:val="0"/>
      <w:marTop w:val="0"/>
      <w:marBottom w:val="0"/>
      <w:divBdr>
        <w:top w:val="none" w:sz="0" w:space="0" w:color="auto"/>
        <w:left w:val="none" w:sz="0" w:space="0" w:color="auto"/>
        <w:bottom w:val="none" w:sz="0" w:space="0" w:color="auto"/>
        <w:right w:val="none" w:sz="0" w:space="0" w:color="auto"/>
      </w:divBdr>
    </w:div>
    <w:div w:id="755370521">
      <w:bodyDiv w:val="1"/>
      <w:marLeft w:val="0"/>
      <w:marRight w:val="0"/>
      <w:marTop w:val="0"/>
      <w:marBottom w:val="0"/>
      <w:divBdr>
        <w:top w:val="none" w:sz="0" w:space="0" w:color="auto"/>
        <w:left w:val="none" w:sz="0" w:space="0" w:color="auto"/>
        <w:bottom w:val="none" w:sz="0" w:space="0" w:color="auto"/>
        <w:right w:val="none" w:sz="0" w:space="0" w:color="auto"/>
      </w:divBdr>
    </w:div>
    <w:div w:id="761728988">
      <w:bodyDiv w:val="1"/>
      <w:marLeft w:val="0"/>
      <w:marRight w:val="0"/>
      <w:marTop w:val="0"/>
      <w:marBottom w:val="0"/>
      <w:divBdr>
        <w:top w:val="none" w:sz="0" w:space="0" w:color="auto"/>
        <w:left w:val="none" w:sz="0" w:space="0" w:color="auto"/>
        <w:bottom w:val="none" w:sz="0" w:space="0" w:color="auto"/>
        <w:right w:val="none" w:sz="0" w:space="0" w:color="auto"/>
      </w:divBdr>
    </w:div>
    <w:div w:id="980696841">
      <w:bodyDiv w:val="1"/>
      <w:marLeft w:val="0"/>
      <w:marRight w:val="0"/>
      <w:marTop w:val="0"/>
      <w:marBottom w:val="0"/>
      <w:divBdr>
        <w:top w:val="none" w:sz="0" w:space="0" w:color="auto"/>
        <w:left w:val="none" w:sz="0" w:space="0" w:color="auto"/>
        <w:bottom w:val="none" w:sz="0" w:space="0" w:color="auto"/>
        <w:right w:val="none" w:sz="0" w:space="0" w:color="auto"/>
      </w:divBdr>
    </w:div>
    <w:div w:id="992414381">
      <w:bodyDiv w:val="1"/>
      <w:marLeft w:val="0"/>
      <w:marRight w:val="0"/>
      <w:marTop w:val="0"/>
      <w:marBottom w:val="0"/>
      <w:divBdr>
        <w:top w:val="none" w:sz="0" w:space="0" w:color="auto"/>
        <w:left w:val="none" w:sz="0" w:space="0" w:color="auto"/>
        <w:bottom w:val="none" w:sz="0" w:space="0" w:color="auto"/>
        <w:right w:val="none" w:sz="0" w:space="0" w:color="auto"/>
      </w:divBdr>
    </w:div>
    <w:div w:id="1053769672">
      <w:bodyDiv w:val="1"/>
      <w:marLeft w:val="0"/>
      <w:marRight w:val="0"/>
      <w:marTop w:val="0"/>
      <w:marBottom w:val="0"/>
      <w:divBdr>
        <w:top w:val="none" w:sz="0" w:space="0" w:color="auto"/>
        <w:left w:val="none" w:sz="0" w:space="0" w:color="auto"/>
        <w:bottom w:val="none" w:sz="0" w:space="0" w:color="auto"/>
        <w:right w:val="none" w:sz="0" w:space="0" w:color="auto"/>
      </w:divBdr>
    </w:div>
    <w:div w:id="1069496317">
      <w:bodyDiv w:val="1"/>
      <w:marLeft w:val="0"/>
      <w:marRight w:val="0"/>
      <w:marTop w:val="0"/>
      <w:marBottom w:val="0"/>
      <w:divBdr>
        <w:top w:val="none" w:sz="0" w:space="0" w:color="auto"/>
        <w:left w:val="none" w:sz="0" w:space="0" w:color="auto"/>
        <w:bottom w:val="none" w:sz="0" w:space="0" w:color="auto"/>
        <w:right w:val="none" w:sz="0" w:space="0" w:color="auto"/>
      </w:divBdr>
    </w:div>
    <w:div w:id="1128666176">
      <w:bodyDiv w:val="1"/>
      <w:marLeft w:val="0"/>
      <w:marRight w:val="0"/>
      <w:marTop w:val="0"/>
      <w:marBottom w:val="0"/>
      <w:divBdr>
        <w:top w:val="none" w:sz="0" w:space="0" w:color="auto"/>
        <w:left w:val="none" w:sz="0" w:space="0" w:color="auto"/>
        <w:bottom w:val="none" w:sz="0" w:space="0" w:color="auto"/>
        <w:right w:val="none" w:sz="0" w:space="0" w:color="auto"/>
      </w:divBdr>
    </w:div>
    <w:div w:id="1133981868">
      <w:bodyDiv w:val="1"/>
      <w:marLeft w:val="0"/>
      <w:marRight w:val="0"/>
      <w:marTop w:val="0"/>
      <w:marBottom w:val="0"/>
      <w:divBdr>
        <w:top w:val="none" w:sz="0" w:space="0" w:color="auto"/>
        <w:left w:val="none" w:sz="0" w:space="0" w:color="auto"/>
        <w:bottom w:val="none" w:sz="0" w:space="0" w:color="auto"/>
        <w:right w:val="none" w:sz="0" w:space="0" w:color="auto"/>
      </w:divBdr>
    </w:div>
    <w:div w:id="1137725471">
      <w:bodyDiv w:val="1"/>
      <w:marLeft w:val="0"/>
      <w:marRight w:val="0"/>
      <w:marTop w:val="0"/>
      <w:marBottom w:val="0"/>
      <w:divBdr>
        <w:top w:val="none" w:sz="0" w:space="0" w:color="auto"/>
        <w:left w:val="none" w:sz="0" w:space="0" w:color="auto"/>
        <w:bottom w:val="none" w:sz="0" w:space="0" w:color="auto"/>
        <w:right w:val="none" w:sz="0" w:space="0" w:color="auto"/>
      </w:divBdr>
    </w:div>
    <w:div w:id="1138690687">
      <w:bodyDiv w:val="1"/>
      <w:marLeft w:val="0"/>
      <w:marRight w:val="0"/>
      <w:marTop w:val="0"/>
      <w:marBottom w:val="0"/>
      <w:divBdr>
        <w:top w:val="none" w:sz="0" w:space="0" w:color="auto"/>
        <w:left w:val="none" w:sz="0" w:space="0" w:color="auto"/>
        <w:bottom w:val="none" w:sz="0" w:space="0" w:color="auto"/>
        <w:right w:val="none" w:sz="0" w:space="0" w:color="auto"/>
      </w:divBdr>
    </w:div>
    <w:div w:id="1164324035">
      <w:bodyDiv w:val="1"/>
      <w:marLeft w:val="0"/>
      <w:marRight w:val="0"/>
      <w:marTop w:val="0"/>
      <w:marBottom w:val="0"/>
      <w:divBdr>
        <w:top w:val="none" w:sz="0" w:space="0" w:color="auto"/>
        <w:left w:val="none" w:sz="0" w:space="0" w:color="auto"/>
        <w:bottom w:val="none" w:sz="0" w:space="0" w:color="auto"/>
        <w:right w:val="none" w:sz="0" w:space="0" w:color="auto"/>
      </w:divBdr>
    </w:div>
    <w:div w:id="1206064773">
      <w:bodyDiv w:val="1"/>
      <w:marLeft w:val="0"/>
      <w:marRight w:val="0"/>
      <w:marTop w:val="0"/>
      <w:marBottom w:val="0"/>
      <w:divBdr>
        <w:top w:val="none" w:sz="0" w:space="0" w:color="auto"/>
        <w:left w:val="none" w:sz="0" w:space="0" w:color="auto"/>
        <w:bottom w:val="none" w:sz="0" w:space="0" w:color="auto"/>
        <w:right w:val="none" w:sz="0" w:space="0" w:color="auto"/>
      </w:divBdr>
    </w:div>
    <w:div w:id="1208223156">
      <w:bodyDiv w:val="1"/>
      <w:marLeft w:val="0"/>
      <w:marRight w:val="0"/>
      <w:marTop w:val="0"/>
      <w:marBottom w:val="0"/>
      <w:divBdr>
        <w:top w:val="none" w:sz="0" w:space="0" w:color="auto"/>
        <w:left w:val="none" w:sz="0" w:space="0" w:color="auto"/>
        <w:bottom w:val="none" w:sz="0" w:space="0" w:color="auto"/>
        <w:right w:val="none" w:sz="0" w:space="0" w:color="auto"/>
      </w:divBdr>
    </w:div>
    <w:div w:id="1225095859">
      <w:bodyDiv w:val="1"/>
      <w:marLeft w:val="0"/>
      <w:marRight w:val="0"/>
      <w:marTop w:val="0"/>
      <w:marBottom w:val="0"/>
      <w:divBdr>
        <w:top w:val="none" w:sz="0" w:space="0" w:color="auto"/>
        <w:left w:val="none" w:sz="0" w:space="0" w:color="auto"/>
        <w:bottom w:val="none" w:sz="0" w:space="0" w:color="auto"/>
        <w:right w:val="none" w:sz="0" w:space="0" w:color="auto"/>
      </w:divBdr>
    </w:div>
    <w:div w:id="1241523895">
      <w:bodyDiv w:val="1"/>
      <w:marLeft w:val="0"/>
      <w:marRight w:val="0"/>
      <w:marTop w:val="0"/>
      <w:marBottom w:val="0"/>
      <w:divBdr>
        <w:top w:val="none" w:sz="0" w:space="0" w:color="auto"/>
        <w:left w:val="none" w:sz="0" w:space="0" w:color="auto"/>
        <w:bottom w:val="none" w:sz="0" w:space="0" w:color="auto"/>
        <w:right w:val="none" w:sz="0" w:space="0" w:color="auto"/>
      </w:divBdr>
    </w:div>
    <w:div w:id="1331905124">
      <w:bodyDiv w:val="1"/>
      <w:marLeft w:val="0"/>
      <w:marRight w:val="0"/>
      <w:marTop w:val="0"/>
      <w:marBottom w:val="0"/>
      <w:divBdr>
        <w:top w:val="none" w:sz="0" w:space="0" w:color="auto"/>
        <w:left w:val="none" w:sz="0" w:space="0" w:color="auto"/>
        <w:bottom w:val="none" w:sz="0" w:space="0" w:color="auto"/>
        <w:right w:val="none" w:sz="0" w:space="0" w:color="auto"/>
      </w:divBdr>
    </w:div>
    <w:div w:id="1346395371">
      <w:bodyDiv w:val="1"/>
      <w:marLeft w:val="0"/>
      <w:marRight w:val="0"/>
      <w:marTop w:val="0"/>
      <w:marBottom w:val="0"/>
      <w:divBdr>
        <w:top w:val="none" w:sz="0" w:space="0" w:color="auto"/>
        <w:left w:val="none" w:sz="0" w:space="0" w:color="auto"/>
        <w:bottom w:val="none" w:sz="0" w:space="0" w:color="auto"/>
        <w:right w:val="none" w:sz="0" w:space="0" w:color="auto"/>
      </w:divBdr>
    </w:div>
    <w:div w:id="1367027101">
      <w:bodyDiv w:val="1"/>
      <w:marLeft w:val="0"/>
      <w:marRight w:val="0"/>
      <w:marTop w:val="0"/>
      <w:marBottom w:val="0"/>
      <w:divBdr>
        <w:top w:val="none" w:sz="0" w:space="0" w:color="auto"/>
        <w:left w:val="none" w:sz="0" w:space="0" w:color="auto"/>
        <w:bottom w:val="none" w:sz="0" w:space="0" w:color="auto"/>
        <w:right w:val="none" w:sz="0" w:space="0" w:color="auto"/>
      </w:divBdr>
    </w:div>
    <w:div w:id="1376395030">
      <w:bodyDiv w:val="1"/>
      <w:marLeft w:val="0"/>
      <w:marRight w:val="0"/>
      <w:marTop w:val="0"/>
      <w:marBottom w:val="0"/>
      <w:divBdr>
        <w:top w:val="none" w:sz="0" w:space="0" w:color="auto"/>
        <w:left w:val="none" w:sz="0" w:space="0" w:color="auto"/>
        <w:bottom w:val="none" w:sz="0" w:space="0" w:color="auto"/>
        <w:right w:val="none" w:sz="0" w:space="0" w:color="auto"/>
      </w:divBdr>
    </w:div>
    <w:div w:id="1382946264">
      <w:bodyDiv w:val="1"/>
      <w:marLeft w:val="0"/>
      <w:marRight w:val="0"/>
      <w:marTop w:val="0"/>
      <w:marBottom w:val="0"/>
      <w:divBdr>
        <w:top w:val="none" w:sz="0" w:space="0" w:color="auto"/>
        <w:left w:val="none" w:sz="0" w:space="0" w:color="auto"/>
        <w:bottom w:val="none" w:sz="0" w:space="0" w:color="auto"/>
        <w:right w:val="none" w:sz="0" w:space="0" w:color="auto"/>
      </w:divBdr>
    </w:div>
    <w:div w:id="1413427809">
      <w:bodyDiv w:val="1"/>
      <w:marLeft w:val="0"/>
      <w:marRight w:val="0"/>
      <w:marTop w:val="0"/>
      <w:marBottom w:val="0"/>
      <w:divBdr>
        <w:top w:val="none" w:sz="0" w:space="0" w:color="auto"/>
        <w:left w:val="none" w:sz="0" w:space="0" w:color="auto"/>
        <w:bottom w:val="none" w:sz="0" w:space="0" w:color="auto"/>
        <w:right w:val="none" w:sz="0" w:space="0" w:color="auto"/>
      </w:divBdr>
    </w:div>
    <w:div w:id="1456751396">
      <w:bodyDiv w:val="1"/>
      <w:marLeft w:val="0"/>
      <w:marRight w:val="0"/>
      <w:marTop w:val="0"/>
      <w:marBottom w:val="0"/>
      <w:divBdr>
        <w:top w:val="none" w:sz="0" w:space="0" w:color="auto"/>
        <w:left w:val="none" w:sz="0" w:space="0" w:color="auto"/>
        <w:bottom w:val="none" w:sz="0" w:space="0" w:color="auto"/>
        <w:right w:val="none" w:sz="0" w:space="0" w:color="auto"/>
      </w:divBdr>
    </w:div>
    <w:div w:id="1471748603">
      <w:bodyDiv w:val="1"/>
      <w:marLeft w:val="0"/>
      <w:marRight w:val="0"/>
      <w:marTop w:val="0"/>
      <w:marBottom w:val="0"/>
      <w:divBdr>
        <w:top w:val="none" w:sz="0" w:space="0" w:color="auto"/>
        <w:left w:val="none" w:sz="0" w:space="0" w:color="auto"/>
        <w:bottom w:val="none" w:sz="0" w:space="0" w:color="auto"/>
        <w:right w:val="none" w:sz="0" w:space="0" w:color="auto"/>
      </w:divBdr>
    </w:div>
    <w:div w:id="1506045848">
      <w:bodyDiv w:val="1"/>
      <w:marLeft w:val="0"/>
      <w:marRight w:val="0"/>
      <w:marTop w:val="0"/>
      <w:marBottom w:val="0"/>
      <w:divBdr>
        <w:top w:val="none" w:sz="0" w:space="0" w:color="auto"/>
        <w:left w:val="none" w:sz="0" w:space="0" w:color="auto"/>
        <w:bottom w:val="none" w:sz="0" w:space="0" w:color="auto"/>
        <w:right w:val="none" w:sz="0" w:space="0" w:color="auto"/>
      </w:divBdr>
    </w:div>
    <w:div w:id="1527255964">
      <w:bodyDiv w:val="1"/>
      <w:marLeft w:val="0"/>
      <w:marRight w:val="0"/>
      <w:marTop w:val="0"/>
      <w:marBottom w:val="0"/>
      <w:divBdr>
        <w:top w:val="none" w:sz="0" w:space="0" w:color="auto"/>
        <w:left w:val="none" w:sz="0" w:space="0" w:color="auto"/>
        <w:bottom w:val="none" w:sz="0" w:space="0" w:color="auto"/>
        <w:right w:val="none" w:sz="0" w:space="0" w:color="auto"/>
      </w:divBdr>
    </w:div>
    <w:div w:id="1534684404">
      <w:bodyDiv w:val="1"/>
      <w:marLeft w:val="0"/>
      <w:marRight w:val="0"/>
      <w:marTop w:val="0"/>
      <w:marBottom w:val="0"/>
      <w:divBdr>
        <w:top w:val="none" w:sz="0" w:space="0" w:color="auto"/>
        <w:left w:val="none" w:sz="0" w:space="0" w:color="auto"/>
        <w:bottom w:val="none" w:sz="0" w:space="0" w:color="auto"/>
        <w:right w:val="none" w:sz="0" w:space="0" w:color="auto"/>
      </w:divBdr>
    </w:div>
    <w:div w:id="1643998792">
      <w:bodyDiv w:val="1"/>
      <w:marLeft w:val="0"/>
      <w:marRight w:val="0"/>
      <w:marTop w:val="0"/>
      <w:marBottom w:val="0"/>
      <w:divBdr>
        <w:top w:val="none" w:sz="0" w:space="0" w:color="auto"/>
        <w:left w:val="none" w:sz="0" w:space="0" w:color="auto"/>
        <w:bottom w:val="none" w:sz="0" w:space="0" w:color="auto"/>
        <w:right w:val="none" w:sz="0" w:space="0" w:color="auto"/>
      </w:divBdr>
    </w:div>
    <w:div w:id="1792553343">
      <w:bodyDiv w:val="1"/>
      <w:marLeft w:val="0"/>
      <w:marRight w:val="0"/>
      <w:marTop w:val="0"/>
      <w:marBottom w:val="0"/>
      <w:divBdr>
        <w:top w:val="none" w:sz="0" w:space="0" w:color="auto"/>
        <w:left w:val="none" w:sz="0" w:space="0" w:color="auto"/>
        <w:bottom w:val="none" w:sz="0" w:space="0" w:color="auto"/>
        <w:right w:val="none" w:sz="0" w:space="0" w:color="auto"/>
      </w:divBdr>
    </w:div>
    <w:div w:id="1797523357">
      <w:bodyDiv w:val="1"/>
      <w:marLeft w:val="0"/>
      <w:marRight w:val="0"/>
      <w:marTop w:val="0"/>
      <w:marBottom w:val="0"/>
      <w:divBdr>
        <w:top w:val="none" w:sz="0" w:space="0" w:color="auto"/>
        <w:left w:val="none" w:sz="0" w:space="0" w:color="auto"/>
        <w:bottom w:val="none" w:sz="0" w:space="0" w:color="auto"/>
        <w:right w:val="none" w:sz="0" w:space="0" w:color="auto"/>
      </w:divBdr>
    </w:div>
    <w:div w:id="1872260789">
      <w:bodyDiv w:val="1"/>
      <w:marLeft w:val="0"/>
      <w:marRight w:val="0"/>
      <w:marTop w:val="0"/>
      <w:marBottom w:val="0"/>
      <w:divBdr>
        <w:top w:val="none" w:sz="0" w:space="0" w:color="auto"/>
        <w:left w:val="none" w:sz="0" w:space="0" w:color="auto"/>
        <w:bottom w:val="none" w:sz="0" w:space="0" w:color="auto"/>
        <w:right w:val="none" w:sz="0" w:space="0" w:color="auto"/>
      </w:divBdr>
    </w:div>
    <w:div w:id="1966353076">
      <w:bodyDiv w:val="1"/>
      <w:marLeft w:val="0"/>
      <w:marRight w:val="0"/>
      <w:marTop w:val="0"/>
      <w:marBottom w:val="0"/>
      <w:divBdr>
        <w:top w:val="none" w:sz="0" w:space="0" w:color="auto"/>
        <w:left w:val="none" w:sz="0" w:space="0" w:color="auto"/>
        <w:bottom w:val="none" w:sz="0" w:space="0" w:color="auto"/>
        <w:right w:val="none" w:sz="0" w:space="0" w:color="auto"/>
      </w:divBdr>
    </w:div>
    <w:div w:id="2013407139">
      <w:bodyDiv w:val="1"/>
      <w:marLeft w:val="0"/>
      <w:marRight w:val="0"/>
      <w:marTop w:val="0"/>
      <w:marBottom w:val="0"/>
      <w:divBdr>
        <w:top w:val="none" w:sz="0" w:space="0" w:color="auto"/>
        <w:left w:val="none" w:sz="0" w:space="0" w:color="auto"/>
        <w:bottom w:val="none" w:sz="0" w:space="0" w:color="auto"/>
        <w:right w:val="none" w:sz="0" w:space="0" w:color="auto"/>
      </w:divBdr>
    </w:div>
    <w:div w:id="2080125944">
      <w:bodyDiv w:val="1"/>
      <w:marLeft w:val="0"/>
      <w:marRight w:val="0"/>
      <w:marTop w:val="0"/>
      <w:marBottom w:val="0"/>
      <w:divBdr>
        <w:top w:val="none" w:sz="0" w:space="0" w:color="auto"/>
        <w:left w:val="none" w:sz="0" w:space="0" w:color="auto"/>
        <w:bottom w:val="none" w:sz="0" w:space="0" w:color="auto"/>
        <w:right w:val="none" w:sz="0" w:space="0" w:color="auto"/>
      </w:divBdr>
    </w:div>
    <w:div w:id="208472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ligen.com/wp-content/uploads/2025/10/MonthlyMBQIPDataSubmissionDeadlines_October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C8CB-7C06-49AF-9397-7A43D0BE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676</Words>
  <Characters>3811</Characters>
  <Application>Microsoft Office Word</Application>
  <DocSecurity>0</DocSecurity>
  <Lines>158</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Wagner</dc:creator>
  <cp:keywords/>
  <dc:description/>
  <cp:lastModifiedBy>Casey Driscoll</cp:lastModifiedBy>
  <cp:revision>9</cp:revision>
  <cp:lastPrinted>2025-10-15T16:18:00Z</cp:lastPrinted>
  <dcterms:created xsi:type="dcterms:W3CDTF">2025-09-12T19:12:00Z</dcterms:created>
  <dcterms:modified xsi:type="dcterms:W3CDTF">2025-10-15T18:41:00Z</dcterms:modified>
</cp:coreProperties>
</file>