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1212E" w14:textId="0711D6EC" w:rsidR="00ED55C9" w:rsidRDefault="00ED55C9" w:rsidP="00ED55C9">
      <w:r w:rsidRPr="00ED55C9">
        <w:t xml:space="preserve">A </w:t>
      </w:r>
      <w:r>
        <w:t xml:space="preserve">healthcare organization </w:t>
      </w:r>
      <w:r w:rsidRPr="00ED55C9">
        <w:t>would use this charter as a foundational document to guide the establishment and operation of its Chronic Care Management (CCM) program. Here are practical examples of how the charter can be applied:</w:t>
      </w:r>
    </w:p>
    <w:p w14:paraId="32B39CEB" w14:textId="77777777" w:rsidR="00ED55C9" w:rsidRPr="00ED55C9" w:rsidRDefault="00ED55C9" w:rsidP="00ED55C9"/>
    <w:p w14:paraId="2B92CECF" w14:textId="77777777" w:rsidR="00ED55C9" w:rsidRPr="00ED55C9" w:rsidRDefault="00ED55C9" w:rsidP="00ED55C9">
      <w:pPr>
        <w:rPr>
          <w:b/>
          <w:bCs/>
        </w:rPr>
      </w:pPr>
      <w:r w:rsidRPr="00ED55C9">
        <w:rPr>
          <w:b/>
          <w:bCs/>
        </w:rPr>
        <w:t>1. Program Design and Planning</w:t>
      </w:r>
    </w:p>
    <w:p w14:paraId="3A14A0A9" w14:textId="77777777" w:rsidR="00ED55C9" w:rsidRPr="00ED55C9" w:rsidRDefault="00ED55C9" w:rsidP="00ED55C9">
      <w:pPr>
        <w:numPr>
          <w:ilvl w:val="0"/>
          <w:numId w:val="1"/>
        </w:numPr>
      </w:pPr>
      <w:r w:rsidRPr="00ED55C9">
        <w:rPr>
          <w:b/>
          <w:bCs/>
        </w:rPr>
        <w:t>Example:</w:t>
      </w:r>
      <w:r w:rsidRPr="00ED55C9">
        <w:t xml:space="preserve"> During the initial planning phase, the implementation team can refer to the charter's "Scope" section to define eligible patient populations and services. This ensures the program aligns with the hospital's objectives and CMS guidelines.</w:t>
      </w:r>
    </w:p>
    <w:p w14:paraId="4464357B" w14:textId="77777777" w:rsidR="00ED55C9" w:rsidRPr="00ED55C9" w:rsidRDefault="00ED55C9" w:rsidP="00ED55C9">
      <w:pPr>
        <w:numPr>
          <w:ilvl w:val="0"/>
          <w:numId w:val="1"/>
        </w:numPr>
      </w:pPr>
      <w:r w:rsidRPr="00ED55C9">
        <w:rPr>
          <w:b/>
          <w:bCs/>
        </w:rPr>
        <w:t>Application:</w:t>
      </w:r>
      <w:r w:rsidRPr="00ED55C9">
        <w:t xml:space="preserve"> Use the "Implementation Plan" to create a timeline and allocate resources for workflows, staffing, and IT infrastructure.</w:t>
      </w:r>
    </w:p>
    <w:p w14:paraId="53649177" w14:textId="77777777" w:rsidR="00ED55C9" w:rsidRPr="00ED55C9" w:rsidRDefault="00ED55C9" w:rsidP="00ED55C9">
      <w:pPr>
        <w:rPr>
          <w:b/>
          <w:bCs/>
        </w:rPr>
      </w:pPr>
      <w:r w:rsidRPr="00ED55C9">
        <w:rPr>
          <w:b/>
          <w:bCs/>
        </w:rPr>
        <w:t>2. Stakeholder Engagement</w:t>
      </w:r>
    </w:p>
    <w:p w14:paraId="542D5DA4" w14:textId="77777777" w:rsidR="00ED55C9" w:rsidRPr="00ED55C9" w:rsidRDefault="00ED55C9" w:rsidP="00ED55C9">
      <w:pPr>
        <w:numPr>
          <w:ilvl w:val="0"/>
          <w:numId w:val="2"/>
        </w:numPr>
      </w:pPr>
      <w:r w:rsidRPr="00ED55C9">
        <w:rPr>
          <w:b/>
          <w:bCs/>
        </w:rPr>
        <w:t>Example:</w:t>
      </w:r>
      <w:r w:rsidRPr="00ED55C9">
        <w:t xml:space="preserve"> Hospital leadership can use the "Stakeholders" section to assign clear roles and responsibilities. For instance, the IT team can prioritize integrating CCM tools into the existing EHR system.</w:t>
      </w:r>
    </w:p>
    <w:p w14:paraId="6B6E4D7E" w14:textId="77777777" w:rsidR="00ED55C9" w:rsidRPr="00ED55C9" w:rsidRDefault="00ED55C9" w:rsidP="00ED55C9">
      <w:pPr>
        <w:numPr>
          <w:ilvl w:val="0"/>
          <w:numId w:val="2"/>
        </w:numPr>
      </w:pPr>
      <w:r w:rsidRPr="00ED55C9">
        <w:rPr>
          <w:b/>
          <w:bCs/>
        </w:rPr>
        <w:t>Application:</w:t>
      </w:r>
      <w:r w:rsidRPr="00ED55C9">
        <w:t xml:space="preserve"> Schedule monthly steering committee meetings as described under "Governance" to ensure ongoing communication and accountability among stakeholders.</w:t>
      </w:r>
    </w:p>
    <w:p w14:paraId="019FD0B7" w14:textId="77777777" w:rsidR="00ED55C9" w:rsidRPr="00ED55C9" w:rsidRDefault="00ED55C9" w:rsidP="00ED55C9">
      <w:pPr>
        <w:rPr>
          <w:b/>
          <w:bCs/>
        </w:rPr>
      </w:pPr>
      <w:r w:rsidRPr="00ED55C9">
        <w:rPr>
          <w:b/>
          <w:bCs/>
        </w:rPr>
        <w:t>3. Operational Execution</w:t>
      </w:r>
    </w:p>
    <w:p w14:paraId="6B16AC5B" w14:textId="77777777" w:rsidR="00ED55C9" w:rsidRPr="00ED55C9" w:rsidRDefault="00ED55C9" w:rsidP="00ED55C9">
      <w:pPr>
        <w:numPr>
          <w:ilvl w:val="0"/>
          <w:numId w:val="3"/>
        </w:numPr>
      </w:pPr>
      <w:r w:rsidRPr="00ED55C9">
        <w:rPr>
          <w:b/>
          <w:bCs/>
        </w:rPr>
        <w:t>Example:</w:t>
      </w:r>
      <w:r w:rsidRPr="00ED55C9">
        <w:t xml:space="preserve"> Care teams can reference the charter to understand the services they need to provide, such as creating personalized care plans and conducting monthly follow-ups.</w:t>
      </w:r>
    </w:p>
    <w:p w14:paraId="5FDF21E2" w14:textId="77777777" w:rsidR="00ED55C9" w:rsidRPr="00ED55C9" w:rsidRDefault="00ED55C9" w:rsidP="00ED55C9">
      <w:pPr>
        <w:numPr>
          <w:ilvl w:val="0"/>
          <w:numId w:val="3"/>
        </w:numPr>
      </w:pPr>
      <w:r w:rsidRPr="00ED55C9">
        <w:rPr>
          <w:b/>
          <w:bCs/>
        </w:rPr>
        <w:t>Application:</w:t>
      </w:r>
      <w:r w:rsidRPr="00ED55C9">
        <w:t xml:space="preserve"> Use the charter to standardize workflows and train staff on billing practices to maximize CMS reimbursements.</w:t>
      </w:r>
    </w:p>
    <w:p w14:paraId="0E23C607" w14:textId="77777777" w:rsidR="00ED55C9" w:rsidRPr="00ED55C9" w:rsidRDefault="00ED55C9" w:rsidP="00ED55C9">
      <w:pPr>
        <w:rPr>
          <w:b/>
          <w:bCs/>
        </w:rPr>
      </w:pPr>
      <w:r w:rsidRPr="00ED55C9">
        <w:rPr>
          <w:b/>
          <w:bCs/>
        </w:rPr>
        <w:t>4. Performance Monitoring</w:t>
      </w:r>
    </w:p>
    <w:p w14:paraId="0D70B5BD" w14:textId="77777777" w:rsidR="00ED55C9" w:rsidRPr="00ED55C9" w:rsidRDefault="00ED55C9" w:rsidP="00ED55C9">
      <w:pPr>
        <w:numPr>
          <w:ilvl w:val="0"/>
          <w:numId w:val="4"/>
        </w:numPr>
      </w:pPr>
      <w:r w:rsidRPr="00ED55C9">
        <w:rPr>
          <w:b/>
          <w:bCs/>
        </w:rPr>
        <w:t>Example:</w:t>
      </w:r>
      <w:r w:rsidRPr="00ED55C9">
        <w:t xml:space="preserve"> Administrators can use the "Key Performance Indicators (KPIs)" section to track the program's effectiveness, such as monitoring the reduction in hospital readmissions and financial metrics.</w:t>
      </w:r>
    </w:p>
    <w:p w14:paraId="37F8DA2B" w14:textId="77777777" w:rsidR="00ED55C9" w:rsidRPr="00ED55C9" w:rsidRDefault="00ED55C9" w:rsidP="00ED55C9">
      <w:pPr>
        <w:numPr>
          <w:ilvl w:val="0"/>
          <w:numId w:val="4"/>
        </w:numPr>
      </w:pPr>
      <w:r w:rsidRPr="00ED55C9">
        <w:rPr>
          <w:b/>
          <w:bCs/>
        </w:rPr>
        <w:t>Application:</w:t>
      </w:r>
      <w:r w:rsidRPr="00ED55C9">
        <w:t xml:space="preserve"> Generate monthly reports to review program outcomes and present them at steering committee meetings.</w:t>
      </w:r>
    </w:p>
    <w:p w14:paraId="60D67A89" w14:textId="77777777" w:rsidR="00ED55C9" w:rsidRPr="00ED55C9" w:rsidRDefault="00ED55C9" w:rsidP="00ED55C9">
      <w:pPr>
        <w:rPr>
          <w:b/>
          <w:bCs/>
        </w:rPr>
      </w:pPr>
      <w:r w:rsidRPr="00ED55C9">
        <w:rPr>
          <w:b/>
          <w:bCs/>
        </w:rPr>
        <w:t>5. Resource Allocation</w:t>
      </w:r>
    </w:p>
    <w:p w14:paraId="1F27CE96" w14:textId="77777777" w:rsidR="00ED55C9" w:rsidRPr="00ED55C9" w:rsidRDefault="00ED55C9" w:rsidP="00ED55C9">
      <w:pPr>
        <w:numPr>
          <w:ilvl w:val="0"/>
          <w:numId w:val="5"/>
        </w:numPr>
      </w:pPr>
      <w:r w:rsidRPr="00ED55C9">
        <w:rPr>
          <w:b/>
          <w:bCs/>
        </w:rPr>
        <w:t>Example:</w:t>
      </w:r>
      <w:r w:rsidRPr="00ED55C9">
        <w:t xml:space="preserve"> Refer to the "Resources" section to justify hiring additional care coordinators or purchasing patient engagement tools.</w:t>
      </w:r>
    </w:p>
    <w:p w14:paraId="552D0AC9" w14:textId="77777777" w:rsidR="00ED55C9" w:rsidRPr="00ED55C9" w:rsidRDefault="00ED55C9" w:rsidP="00ED55C9">
      <w:pPr>
        <w:numPr>
          <w:ilvl w:val="0"/>
          <w:numId w:val="5"/>
        </w:numPr>
      </w:pPr>
      <w:r w:rsidRPr="00ED55C9">
        <w:rPr>
          <w:b/>
          <w:bCs/>
        </w:rPr>
        <w:t>Application:</w:t>
      </w:r>
      <w:r w:rsidRPr="00ED55C9">
        <w:t xml:space="preserve"> Use these details when applying for grants or requesting budget allocations from hospital leadership.</w:t>
      </w:r>
    </w:p>
    <w:p w14:paraId="3C03A6FF" w14:textId="77777777" w:rsidR="00ED55C9" w:rsidRPr="00ED55C9" w:rsidRDefault="00ED55C9" w:rsidP="00ED55C9">
      <w:pPr>
        <w:rPr>
          <w:b/>
          <w:bCs/>
        </w:rPr>
      </w:pPr>
      <w:r w:rsidRPr="00ED55C9">
        <w:rPr>
          <w:b/>
          <w:bCs/>
        </w:rPr>
        <w:t>6. Risk Management</w:t>
      </w:r>
    </w:p>
    <w:p w14:paraId="732A66A4" w14:textId="77777777" w:rsidR="00ED55C9" w:rsidRPr="00ED55C9" w:rsidRDefault="00ED55C9" w:rsidP="00ED55C9">
      <w:pPr>
        <w:numPr>
          <w:ilvl w:val="0"/>
          <w:numId w:val="6"/>
        </w:numPr>
      </w:pPr>
      <w:r w:rsidRPr="00ED55C9">
        <w:rPr>
          <w:b/>
          <w:bCs/>
        </w:rPr>
        <w:lastRenderedPageBreak/>
        <w:t>Example:</w:t>
      </w:r>
      <w:r w:rsidRPr="00ED55C9">
        <w:t xml:space="preserve"> If enrollment is lower than expected, the team can revisit the "Risk Management" section to implement targeted patient outreach strategies.</w:t>
      </w:r>
    </w:p>
    <w:p w14:paraId="3CB091E5" w14:textId="77777777" w:rsidR="00ED55C9" w:rsidRPr="00ED55C9" w:rsidRDefault="00ED55C9" w:rsidP="00ED55C9">
      <w:pPr>
        <w:numPr>
          <w:ilvl w:val="0"/>
          <w:numId w:val="6"/>
        </w:numPr>
      </w:pPr>
      <w:r w:rsidRPr="00ED55C9">
        <w:rPr>
          <w:b/>
          <w:bCs/>
        </w:rPr>
        <w:t>Application:</w:t>
      </w:r>
      <w:r w:rsidRPr="00ED55C9">
        <w:t xml:space="preserve"> Conduct staff surveys to address burnout and </w:t>
      </w:r>
      <w:proofErr w:type="gramStart"/>
      <w:r w:rsidRPr="00ED55C9">
        <w:t>make adjustments to</w:t>
      </w:r>
      <w:proofErr w:type="gramEnd"/>
      <w:r w:rsidRPr="00ED55C9">
        <w:t xml:space="preserve"> workloads, as suggested in the charter.</w:t>
      </w:r>
    </w:p>
    <w:p w14:paraId="5CD9E2D2" w14:textId="77777777" w:rsidR="00ED55C9" w:rsidRPr="00ED55C9" w:rsidRDefault="00ED55C9" w:rsidP="00ED55C9">
      <w:pPr>
        <w:rPr>
          <w:b/>
          <w:bCs/>
        </w:rPr>
      </w:pPr>
      <w:r w:rsidRPr="00ED55C9">
        <w:rPr>
          <w:b/>
          <w:bCs/>
        </w:rPr>
        <w:t>7. Regulatory Compliance</w:t>
      </w:r>
    </w:p>
    <w:p w14:paraId="2DDF69F5" w14:textId="77777777" w:rsidR="00ED55C9" w:rsidRPr="00ED55C9" w:rsidRDefault="00ED55C9" w:rsidP="00ED55C9">
      <w:pPr>
        <w:numPr>
          <w:ilvl w:val="0"/>
          <w:numId w:val="7"/>
        </w:numPr>
      </w:pPr>
      <w:r w:rsidRPr="00ED55C9">
        <w:rPr>
          <w:b/>
          <w:bCs/>
        </w:rPr>
        <w:t>Example:</w:t>
      </w:r>
      <w:r w:rsidRPr="00ED55C9">
        <w:t xml:space="preserve"> Ensure that all services provided are documented in accordance with CMS requirements, as guided by the charter's focus on reimbursement opportunities.</w:t>
      </w:r>
    </w:p>
    <w:p w14:paraId="6EF0A368" w14:textId="77777777" w:rsidR="00ED55C9" w:rsidRPr="00ED55C9" w:rsidRDefault="00ED55C9" w:rsidP="00ED55C9">
      <w:pPr>
        <w:numPr>
          <w:ilvl w:val="0"/>
          <w:numId w:val="7"/>
        </w:numPr>
      </w:pPr>
      <w:r w:rsidRPr="00ED55C9">
        <w:rPr>
          <w:b/>
          <w:bCs/>
        </w:rPr>
        <w:t>Application:</w:t>
      </w:r>
      <w:r w:rsidRPr="00ED55C9">
        <w:t xml:space="preserve"> Use the document to validate compliance during internal or external audits.</w:t>
      </w:r>
    </w:p>
    <w:p w14:paraId="20B9D0F5" w14:textId="77777777" w:rsidR="00ED55C9" w:rsidRPr="00ED55C9" w:rsidRDefault="00ED55C9" w:rsidP="00ED55C9">
      <w:pPr>
        <w:rPr>
          <w:b/>
          <w:bCs/>
        </w:rPr>
      </w:pPr>
      <w:r w:rsidRPr="00ED55C9">
        <w:rPr>
          <w:b/>
          <w:bCs/>
        </w:rPr>
        <w:t>8. Strategic Alignment</w:t>
      </w:r>
    </w:p>
    <w:p w14:paraId="13920A5E" w14:textId="77777777" w:rsidR="00ED55C9" w:rsidRPr="00ED55C9" w:rsidRDefault="00ED55C9" w:rsidP="00ED55C9">
      <w:pPr>
        <w:numPr>
          <w:ilvl w:val="0"/>
          <w:numId w:val="8"/>
        </w:numPr>
      </w:pPr>
      <w:r w:rsidRPr="00ED55C9">
        <w:rPr>
          <w:b/>
          <w:bCs/>
        </w:rPr>
        <w:t>Example:</w:t>
      </w:r>
      <w:r w:rsidRPr="00ED55C9">
        <w:t xml:space="preserve"> Hospital executives can use the "Purpose" and "Program Objectives" sections to demonstrate how the CCM program supports the hospital's broader goals, such as reducing healthcare costs and improving population health.</w:t>
      </w:r>
    </w:p>
    <w:p w14:paraId="64A476F0" w14:textId="77777777" w:rsidR="00ED55C9" w:rsidRPr="00ED55C9" w:rsidRDefault="00ED55C9" w:rsidP="00ED55C9">
      <w:pPr>
        <w:numPr>
          <w:ilvl w:val="0"/>
          <w:numId w:val="8"/>
        </w:numPr>
      </w:pPr>
      <w:r w:rsidRPr="00ED55C9">
        <w:rPr>
          <w:b/>
          <w:bCs/>
        </w:rPr>
        <w:t>Application:</w:t>
      </w:r>
      <w:r w:rsidRPr="00ED55C9">
        <w:t xml:space="preserve"> Incorporate this alignment into strategic planning presentations for board members or investors.</w:t>
      </w:r>
    </w:p>
    <w:p w14:paraId="1473B746" w14:textId="77777777" w:rsidR="00ED55C9" w:rsidRPr="00ED55C9" w:rsidRDefault="00ED55C9" w:rsidP="00ED55C9">
      <w:r w:rsidRPr="00ED55C9">
        <w:t>By consistently referencing the charter, the hospital ensures that all aspects of the CCM program remain aligned with its goals, stakeholders’ expectations, and regulatory requirements.</w:t>
      </w:r>
    </w:p>
    <w:p w14:paraId="0BEF2018" w14:textId="77777777" w:rsidR="00DF4C22" w:rsidRDefault="00DF4C22"/>
    <w:sectPr w:rsidR="00DF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77B88"/>
    <w:multiLevelType w:val="multilevel"/>
    <w:tmpl w:val="A2E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D6362"/>
    <w:multiLevelType w:val="multilevel"/>
    <w:tmpl w:val="09D6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379E6"/>
    <w:multiLevelType w:val="multilevel"/>
    <w:tmpl w:val="854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9056F"/>
    <w:multiLevelType w:val="multilevel"/>
    <w:tmpl w:val="5BF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57E29"/>
    <w:multiLevelType w:val="multilevel"/>
    <w:tmpl w:val="98E2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84F8F"/>
    <w:multiLevelType w:val="multilevel"/>
    <w:tmpl w:val="B3EA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545DB"/>
    <w:multiLevelType w:val="multilevel"/>
    <w:tmpl w:val="48A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50F61"/>
    <w:multiLevelType w:val="multilevel"/>
    <w:tmpl w:val="4030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972858">
    <w:abstractNumId w:val="0"/>
  </w:num>
  <w:num w:numId="2" w16cid:durableId="946355770">
    <w:abstractNumId w:val="7"/>
  </w:num>
  <w:num w:numId="3" w16cid:durableId="1484657019">
    <w:abstractNumId w:val="6"/>
  </w:num>
  <w:num w:numId="4" w16cid:durableId="869876842">
    <w:abstractNumId w:val="3"/>
  </w:num>
  <w:num w:numId="5" w16cid:durableId="513541758">
    <w:abstractNumId w:val="4"/>
  </w:num>
  <w:num w:numId="6" w16cid:durableId="1685786056">
    <w:abstractNumId w:val="2"/>
  </w:num>
  <w:num w:numId="7" w16cid:durableId="9844046">
    <w:abstractNumId w:val="5"/>
  </w:num>
  <w:num w:numId="8" w16cid:durableId="53878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00"/>
    <w:rsid w:val="004B7B00"/>
    <w:rsid w:val="0087254E"/>
    <w:rsid w:val="00DF4C22"/>
    <w:rsid w:val="00ED55C9"/>
    <w:rsid w:val="00FB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C28C"/>
  <w15:chartTrackingRefBased/>
  <w15:docId w15:val="{A832AF44-55F4-4DCA-9E6D-DDEE3AA6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00"/>
    <w:rPr>
      <w:rFonts w:eastAsiaTheme="majorEastAsia" w:cstheme="majorBidi"/>
      <w:color w:val="272727" w:themeColor="text1" w:themeTint="D8"/>
    </w:rPr>
  </w:style>
  <w:style w:type="paragraph" w:styleId="Title">
    <w:name w:val="Title"/>
    <w:basedOn w:val="Normal"/>
    <w:next w:val="Normal"/>
    <w:link w:val="TitleChar"/>
    <w:uiPriority w:val="10"/>
    <w:qFormat/>
    <w:rsid w:val="004B7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B00"/>
    <w:pPr>
      <w:spacing w:before="160"/>
      <w:jc w:val="center"/>
    </w:pPr>
    <w:rPr>
      <w:i/>
      <w:iCs/>
      <w:color w:val="404040" w:themeColor="text1" w:themeTint="BF"/>
    </w:rPr>
  </w:style>
  <w:style w:type="character" w:customStyle="1" w:styleId="QuoteChar">
    <w:name w:val="Quote Char"/>
    <w:basedOn w:val="DefaultParagraphFont"/>
    <w:link w:val="Quote"/>
    <w:uiPriority w:val="29"/>
    <w:rsid w:val="004B7B00"/>
    <w:rPr>
      <w:i/>
      <w:iCs/>
      <w:color w:val="404040" w:themeColor="text1" w:themeTint="BF"/>
    </w:rPr>
  </w:style>
  <w:style w:type="paragraph" w:styleId="ListParagraph">
    <w:name w:val="List Paragraph"/>
    <w:basedOn w:val="Normal"/>
    <w:uiPriority w:val="34"/>
    <w:qFormat/>
    <w:rsid w:val="004B7B00"/>
    <w:pPr>
      <w:ind w:left="720"/>
      <w:contextualSpacing/>
    </w:pPr>
  </w:style>
  <w:style w:type="character" w:styleId="IntenseEmphasis">
    <w:name w:val="Intense Emphasis"/>
    <w:basedOn w:val="DefaultParagraphFont"/>
    <w:uiPriority w:val="21"/>
    <w:qFormat/>
    <w:rsid w:val="004B7B00"/>
    <w:rPr>
      <w:i/>
      <w:iCs/>
      <w:color w:val="0F4761" w:themeColor="accent1" w:themeShade="BF"/>
    </w:rPr>
  </w:style>
  <w:style w:type="paragraph" w:styleId="IntenseQuote">
    <w:name w:val="Intense Quote"/>
    <w:basedOn w:val="Normal"/>
    <w:next w:val="Normal"/>
    <w:link w:val="IntenseQuoteChar"/>
    <w:uiPriority w:val="30"/>
    <w:qFormat/>
    <w:rsid w:val="004B7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B00"/>
    <w:rPr>
      <w:i/>
      <w:iCs/>
      <w:color w:val="0F4761" w:themeColor="accent1" w:themeShade="BF"/>
    </w:rPr>
  </w:style>
  <w:style w:type="character" w:styleId="IntenseReference">
    <w:name w:val="Intense Reference"/>
    <w:basedOn w:val="DefaultParagraphFont"/>
    <w:uiPriority w:val="32"/>
    <w:qFormat/>
    <w:rsid w:val="004B7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730751">
      <w:bodyDiv w:val="1"/>
      <w:marLeft w:val="0"/>
      <w:marRight w:val="0"/>
      <w:marTop w:val="0"/>
      <w:marBottom w:val="0"/>
      <w:divBdr>
        <w:top w:val="none" w:sz="0" w:space="0" w:color="auto"/>
        <w:left w:val="none" w:sz="0" w:space="0" w:color="auto"/>
        <w:bottom w:val="none" w:sz="0" w:space="0" w:color="auto"/>
        <w:right w:val="none" w:sz="0" w:space="0" w:color="auto"/>
      </w:divBdr>
    </w:div>
    <w:div w:id="7044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Schroeder</dc:creator>
  <cp:keywords/>
  <dc:description/>
  <cp:lastModifiedBy>Jessica Schroeder</cp:lastModifiedBy>
  <cp:revision>2</cp:revision>
  <dcterms:created xsi:type="dcterms:W3CDTF">2025-01-13T22:58:00Z</dcterms:created>
  <dcterms:modified xsi:type="dcterms:W3CDTF">2025-01-13T22:59:00Z</dcterms:modified>
</cp:coreProperties>
</file>