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06" w:rsidRPr="005548EB" w:rsidRDefault="00730306" w:rsidP="00730306">
      <w:pPr>
        <w:spacing w:after="0" w:line="240" w:lineRule="auto"/>
        <w:ind w:right="-450"/>
        <w:jc w:val="center"/>
        <w:rPr>
          <w:rFonts w:ascii="Arial" w:hAnsi="Arial" w:cs="Arial"/>
          <w:b/>
          <w:sz w:val="24"/>
          <w:szCs w:val="24"/>
        </w:rPr>
      </w:pPr>
      <w:r w:rsidRPr="005548EB">
        <w:rPr>
          <w:rFonts w:ascii="Arial" w:hAnsi="Arial" w:cs="Arial"/>
          <w:b/>
          <w:sz w:val="24"/>
          <w:szCs w:val="24"/>
        </w:rPr>
        <w:t>Attachment 1</w:t>
      </w:r>
    </w:p>
    <w:p w:rsidR="00730306" w:rsidRPr="005548EB" w:rsidRDefault="00730306" w:rsidP="00730306">
      <w:pPr>
        <w:spacing w:after="0" w:line="240" w:lineRule="auto"/>
        <w:ind w:right="-450"/>
        <w:jc w:val="center"/>
        <w:rPr>
          <w:rFonts w:ascii="Arial" w:hAnsi="Arial" w:cs="Arial"/>
          <w:b/>
          <w:sz w:val="24"/>
          <w:szCs w:val="24"/>
        </w:rPr>
      </w:pPr>
    </w:p>
    <w:p w:rsidR="00730306" w:rsidRPr="005548EB" w:rsidRDefault="00730306" w:rsidP="00730306">
      <w:pPr>
        <w:spacing w:after="0" w:line="240" w:lineRule="auto"/>
        <w:ind w:right="-450"/>
        <w:jc w:val="center"/>
        <w:rPr>
          <w:rFonts w:ascii="Arial" w:hAnsi="Arial" w:cs="Arial"/>
          <w:b/>
          <w:sz w:val="24"/>
          <w:szCs w:val="24"/>
        </w:rPr>
      </w:pPr>
      <w:r w:rsidRPr="005548EB">
        <w:rPr>
          <w:rFonts w:ascii="Arial" w:hAnsi="Arial" w:cs="Arial"/>
          <w:b/>
          <w:sz w:val="24"/>
          <w:szCs w:val="24"/>
        </w:rPr>
        <w:t>SWING BED NOTICE OF DISCHARGE OR TRANSFER</w:t>
      </w:r>
    </w:p>
    <w:p w:rsidR="00730306" w:rsidRPr="005548EB" w:rsidRDefault="00730306" w:rsidP="00730306">
      <w:pPr>
        <w:spacing w:after="0" w:line="240" w:lineRule="auto"/>
        <w:ind w:right="-450"/>
        <w:jc w:val="center"/>
        <w:rPr>
          <w:rFonts w:ascii="Arial" w:hAnsi="Arial" w:cs="Arial"/>
          <w:b/>
          <w:sz w:val="24"/>
          <w:szCs w:val="24"/>
        </w:rPr>
      </w:pPr>
    </w:p>
    <w:p w:rsidR="00730306" w:rsidRDefault="00730306" w:rsidP="00730306">
      <w:pPr>
        <w:spacing w:after="0" w:line="240" w:lineRule="auto"/>
        <w:ind w:right="-450"/>
        <w:rPr>
          <w:rFonts w:ascii="Arial" w:hAnsi="Arial" w:cs="Arial"/>
          <w:sz w:val="24"/>
          <w:szCs w:val="24"/>
        </w:rPr>
      </w:pPr>
      <w:r w:rsidRPr="005548EB">
        <w:rPr>
          <w:rFonts w:ascii="Arial" w:hAnsi="Arial" w:cs="Arial"/>
          <w:sz w:val="24"/>
          <w:szCs w:val="24"/>
        </w:rPr>
        <w:t>Patient Name:</w:t>
      </w:r>
      <w:r w:rsidR="005548EB">
        <w:rPr>
          <w:rFonts w:ascii="Arial" w:hAnsi="Arial" w:cs="Arial"/>
          <w:sz w:val="24"/>
          <w:szCs w:val="24"/>
        </w:rPr>
        <w:t xml:space="preserve"> _____________________________________________________________</w:t>
      </w:r>
    </w:p>
    <w:p w:rsidR="005548EB" w:rsidRPr="005548EB" w:rsidRDefault="005548EB" w:rsidP="00730306">
      <w:pPr>
        <w:spacing w:after="0" w:line="240" w:lineRule="auto"/>
        <w:ind w:right="-450"/>
        <w:rPr>
          <w:rFonts w:ascii="Arial" w:hAnsi="Arial" w:cs="Arial"/>
          <w:sz w:val="24"/>
          <w:szCs w:val="24"/>
        </w:rPr>
      </w:pPr>
    </w:p>
    <w:p w:rsidR="00730306" w:rsidRDefault="00730306" w:rsidP="00730306">
      <w:pPr>
        <w:spacing w:after="0" w:line="240" w:lineRule="auto"/>
        <w:ind w:right="-450"/>
        <w:rPr>
          <w:rFonts w:ascii="Arial" w:hAnsi="Arial" w:cs="Arial"/>
          <w:sz w:val="24"/>
          <w:szCs w:val="24"/>
        </w:rPr>
      </w:pPr>
      <w:r w:rsidRPr="005548EB">
        <w:rPr>
          <w:rFonts w:ascii="Arial" w:hAnsi="Arial" w:cs="Arial"/>
          <w:sz w:val="24"/>
          <w:szCs w:val="24"/>
        </w:rPr>
        <w:t xml:space="preserve">Date Notice Issued: </w:t>
      </w:r>
      <w:r w:rsidR="005548EB">
        <w:rPr>
          <w:rFonts w:ascii="Arial" w:hAnsi="Arial" w:cs="Arial"/>
          <w:sz w:val="24"/>
          <w:szCs w:val="24"/>
        </w:rPr>
        <w:t>____________________</w:t>
      </w:r>
    </w:p>
    <w:p w:rsidR="005548EB" w:rsidRPr="005548EB" w:rsidRDefault="005548EB" w:rsidP="00730306">
      <w:pPr>
        <w:spacing w:after="0" w:line="240" w:lineRule="auto"/>
        <w:ind w:right="-450"/>
        <w:rPr>
          <w:rFonts w:ascii="Arial" w:hAnsi="Arial" w:cs="Arial"/>
          <w:sz w:val="24"/>
          <w:szCs w:val="24"/>
        </w:rPr>
      </w:pPr>
    </w:p>
    <w:p w:rsidR="00730306" w:rsidRDefault="005548EB" w:rsidP="00730306">
      <w:pPr>
        <w:spacing w:after="0" w:line="240" w:lineRule="auto"/>
        <w:ind w:right="-450"/>
        <w:rPr>
          <w:rFonts w:ascii="Arial" w:hAnsi="Arial" w:cs="Arial"/>
          <w:sz w:val="24"/>
          <w:szCs w:val="24"/>
        </w:rPr>
      </w:pPr>
      <w:r>
        <w:rPr>
          <w:rFonts w:ascii="Arial" w:hAnsi="Arial" w:cs="Arial"/>
          <w:sz w:val="24"/>
          <w:szCs w:val="24"/>
        </w:rPr>
        <w:t>Clark Fork Valley Hospital</w:t>
      </w:r>
    </w:p>
    <w:p w:rsidR="005548EB" w:rsidRDefault="005548EB" w:rsidP="00730306">
      <w:pPr>
        <w:spacing w:after="0" w:line="240" w:lineRule="auto"/>
        <w:ind w:right="-450"/>
        <w:rPr>
          <w:rFonts w:ascii="Arial" w:hAnsi="Arial" w:cs="Arial"/>
          <w:sz w:val="24"/>
          <w:szCs w:val="24"/>
        </w:rPr>
      </w:pPr>
      <w:r>
        <w:rPr>
          <w:rFonts w:ascii="Arial" w:hAnsi="Arial" w:cs="Arial"/>
          <w:sz w:val="24"/>
          <w:szCs w:val="24"/>
        </w:rPr>
        <w:t>10 Kruger Road</w:t>
      </w:r>
    </w:p>
    <w:p w:rsidR="005548EB" w:rsidRPr="005548EB" w:rsidRDefault="005548EB" w:rsidP="00730306">
      <w:pPr>
        <w:spacing w:after="0" w:line="240" w:lineRule="auto"/>
        <w:ind w:right="-450"/>
        <w:rPr>
          <w:rFonts w:ascii="Arial" w:hAnsi="Arial" w:cs="Arial"/>
          <w:sz w:val="24"/>
          <w:szCs w:val="24"/>
        </w:rPr>
      </w:pPr>
      <w:r>
        <w:rPr>
          <w:rFonts w:ascii="Arial" w:hAnsi="Arial" w:cs="Arial"/>
          <w:sz w:val="24"/>
          <w:szCs w:val="24"/>
        </w:rPr>
        <w:t>Plains, Montana 59859</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Transfer or Discharge Effective Date:</w:t>
      </w:r>
      <w:r w:rsidR="005548EB">
        <w:rPr>
          <w:rFonts w:ascii="Arial" w:hAnsi="Arial" w:cs="Arial"/>
          <w:sz w:val="24"/>
          <w:szCs w:val="24"/>
        </w:rPr>
        <w:t xml:space="preserve"> __________________</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Patient is being transferred to:</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sym w:font="Symbol" w:char="F0A0"/>
      </w:r>
      <w:r w:rsidRPr="005548EB">
        <w:rPr>
          <w:rFonts w:ascii="Arial" w:hAnsi="Arial" w:cs="Arial"/>
          <w:sz w:val="24"/>
          <w:szCs w:val="24"/>
        </w:rPr>
        <w:t xml:space="preserve">  Another nursing facility</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sym w:font="Symbol" w:char="F0A0"/>
      </w:r>
      <w:r w:rsidRPr="005548EB">
        <w:rPr>
          <w:rFonts w:ascii="Arial" w:hAnsi="Arial" w:cs="Arial"/>
          <w:sz w:val="24"/>
          <w:szCs w:val="24"/>
        </w:rPr>
        <w:t xml:space="preserve">  Another health facility</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sym w:font="Symbol" w:char="F0A0"/>
      </w:r>
      <w:r w:rsidRPr="005548EB">
        <w:rPr>
          <w:rFonts w:ascii="Arial" w:hAnsi="Arial" w:cs="Arial"/>
          <w:sz w:val="24"/>
          <w:szCs w:val="24"/>
        </w:rPr>
        <w:t xml:space="preserve">  A private residence (including home)</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sym w:font="Symbol" w:char="F0A0"/>
      </w:r>
      <w:r w:rsidRPr="005548EB">
        <w:rPr>
          <w:rFonts w:ascii="Arial" w:hAnsi="Arial" w:cs="Arial"/>
          <w:sz w:val="24"/>
          <w:szCs w:val="24"/>
        </w:rPr>
        <w:t xml:space="preserve">  Other (Please specify): </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xml:space="preserve">Name &amp; Address of facility being transferred to: </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pBdr>
          <w:top w:val="single" w:sz="12" w:space="1" w:color="auto"/>
          <w:bottom w:val="single" w:sz="12" w:space="1" w:color="auto"/>
        </w:pBd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u w:val="single"/>
        </w:rPr>
        <w:t>The reason for your □ Discharge or □ Transfer is:</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Your health has improved sufficiently so that you no longer need the services provided in Swing Bed.</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Your Discharge or Transfer is necessary for your welfare, and your needs cannot be met in this facility.</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 xml:space="preserve">The safety of others in the facility is endangered. </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The health of others in the facility would otherwise be endangered.</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 xml:space="preserve">You have failed, after reasonable and appropriate notice, to pay for (or to have paid under Medicare or Medicaid), a stay at the facility. </w:t>
      </w:r>
    </w:p>
    <w:p w:rsidR="00730306" w:rsidRPr="005548EB" w:rsidRDefault="00730306" w:rsidP="00730306">
      <w:pPr>
        <w:pStyle w:val="ListParagraph"/>
        <w:numPr>
          <w:ilvl w:val="0"/>
          <w:numId w:val="1"/>
        </w:numPr>
        <w:spacing w:after="0" w:line="240" w:lineRule="auto"/>
        <w:ind w:right="-450"/>
        <w:rPr>
          <w:rFonts w:ascii="Arial" w:hAnsi="Arial" w:cs="Arial"/>
          <w:sz w:val="24"/>
          <w:szCs w:val="24"/>
        </w:rPr>
      </w:pPr>
      <w:r w:rsidRPr="005548EB">
        <w:rPr>
          <w:rFonts w:ascii="Arial" w:hAnsi="Arial" w:cs="Arial"/>
          <w:sz w:val="24"/>
          <w:szCs w:val="24"/>
        </w:rPr>
        <w:t xml:space="preserve">The facility has ceased to operate. </w:t>
      </w:r>
    </w:p>
    <w:p w:rsidR="00730306" w:rsidRPr="005548EB" w:rsidRDefault="00730306" w:rsidP="00730306">
      <w:pPr>
        <w:pStyle w:val="ListParagraph"/>
        <w:spacing w:after="0" w:line="240" w:lineRule="auto"/>
        <w:ind w:right="-450"/>
        <w:rPr>
          <w:rFonts w:ascii="Arial" w:hAnsi="Arial" w:cs="Arial"/>
          <w:b/>
          <w:sz w:val="24"/>
          <w:szCs w:val="24"/>
        </w:rPr>
      </w:pPr>
    </w:p>
    <w:p w:rsidR="00730306" w:rsidRPr="005548EB" w:rsidRDefault="00730306" w:rsidP="00730306">
      <w:pPr>
        <w:spacing w:after="0" w:line="240" w:lineRule="auto"/>
        <w:ind w:right="-450"/>
        <w:rPr>
          <w:rFonts w:ascii="Arial" w:hAnsi="Arial" w:cs="Arial"/>
          <w:b/>
          <w:sz w:val="24"/>
          <w:szCs w:val="24"/>
        </w:rPr>
      </w:pPr>
      <w:r w:rsidRPr="005548EB">
        <w:rPr>
          <w:rFonts w:ascii="Arial" w:hAnsi="Arial" w:cs="Arial"/>
          <w:b/>
          <w:sz w:val="24"/>
          <w:szCs w:val="24"/>
        </w:rPr>
        <w:t>Appeal Rights:</w:t>
      </w:r>
    </w:p>
    <w:p w:rsidR="00E6535B" w:rsidRDefault="00730306" w:rsidP="00730306">
      <w:pPr>
        <w:spacing w:after="0" w:line="240" w:lineRule="auto"/>
        <w:ind w:right="-450"/>
        <w:rPr>
          <w:rFonts w:ascii="Arial" w:hAnsi="Arial" w:cs="Arial"/>
          <w:sz w:val="24"/>
          <w:szCs w:val="24"/>
        </w:rPr>
      </w:pPr>
      <w:r w:rsidRPr="005548EB">
        <w:rPr>
          <w:rFonts w:ascii="Arial" w:hAnsi="Arial" w:cs="Arial"/>
          <w:sz w:val="24"/>
          <w:szCs w:val="24"/>
        </w:rPr>
        <w:t>• You have the right to appeal this discharge or transfer by making a request for a hearing to</w:t>
      </w:r>
      <w:r w:rsidR="00E6535B">
        <w:rPr>
          <w:rFonts w:ascii="Arial" w:hAnsi="Arial" w:cs="Arial"/>
          <w:sz w:val="24"/>
          <w:szCs w:val="24"/>
        </w:rPr>
        <w:t>:</w:t>
      </w:r>
    </w:p>
    <w:p w:rsidR="00E6535B" w:rsidRPr="00E6535B" w:rsidRDefault="00E6535B" w:rsidP="00730306">
      <w:pPr>
        <w:spacing w:after="0" w:line="240" w:lineRule="auto"/>
        <w:ind w:right="-450"/>
        <w:rPr>
          <w:rFonts w:ascii="Arial" w:hAnsi="Arial" w:cs="Arial"/>
          <w:b/>
          <w:sz w:val="24"/>
          <w:szCs w:val="24"/>
        </w:rPr>
      </w:pPr>
      <w:r w:rsidRPr="00E6535B">
        <w:rPr>
          <w:rFonts w:ascii="Arial" w:hAnsi="Arial" w:cs="Arial"/>
          <w:b/>
          <w:sz w:val="24"/>
          <w:szCs w:val="24"/>
        </w:rPr>
        <w:t xml:space="preserve">Mountain Pacific Quality Health </w:t>
      </w:r>
    </w:p>
    <w:p w:rsidR="00E6535B" w:rsidRPr="00E6535B" w:rsidRDefault="00E6535B" w:rsidP="00730306">
      <w:pPr>
        <w:spacing w:after="0" w:line="240" w:lineRule="auto"/>
        <w:ind w:right="-450"/>
        <w:rPr>
          <w:rFonts w:ascii="Arial" w:hAnsi="Arial" w:cs="Arial"/>
          <w:b/>
          <w:sz w:val="24"/>
          <w:szCs w:val="24"/>
        </w:rPr>
      </w:pPr>
      <w:r w:rsidRPr="00E6535B">
        <w:rPr>
          <w:rFonts w:ascii="Arial" w:hAnsi="Arial" w:cs="Arial"/>
          <w:b/>
          <w:sz w:val="24"/>
          <w:szCs w:val="24"/>
        </w:rPr>
        <w:t>1 (800) 497-8232</w:t>
      </w:r>
    </w:p>
    <w:p w:rsidR="00E6535B" w:rsidRDefault="00E6535B"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Your request for a hearing may be made any time up to 90 days from the date you receive this notice.</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lastRenderedPageBreak/>
        <w:t xml:space="preserve">• If you decide to appeal, you may request a hearing in person, by telephone / voice mail or in writing. </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You have the right to remain in the facility until the appeal is decided, if the hearing request is received on or before the proposed date of transfer / discharge, or the day you are actually transferred / discharged. Exception: If not discharging or transferring you from the facility would endanger your health or safety, or the health or safety of other individuals in the facility, you may be discharged or transferred. The proposed discharge / transfer date is on the front page of this notice.</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If you do not appeal, the nursing facility may proceed with your transfer or discharge.</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If the decision at the hearing supports the nursing facility’s decision (you lose the appeal), the nursing facility may proceed with your transfer or discharge 30 days after a final order is entered that upholds the decision.</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If the discharge / transfer is not upheld (you win the appeal), and you are no longer in the facility, you have the right to readmission to the facility immediately upon the first available bed in a semi-private room, provided you require and are eligible for the services provided by the facility.</w:t>
      </w:r>
    </w:p>
    <w:p w:rsidR="00730306" w:rsidRPr="005548EB" w:rsidRDefault="00730306" w:rsidP="00730306">
      <w:pPr>
        <w:spacing w:after="0" w:line="240" w:lineRule="auto"/>
        <w:ind w:right="-450"/>
        <w:rPr>
          <w:rFonts w:ascii="Arial" w:hAnsi="Arial" w:cs="Arial"/>
          <w:sz w:val="24"/>
          <w:szCs w:val="24"/>
        </w:rPr>
      </w:pPr>
    </w:p>
    <w:p w:rsidR="00730306" w:rsidRPr="005548EB" w:rsidRDefault="005548EB" w:rsidP="00730306">
      <w:pPr>
        <w:spacing w:after="0" w:line="240" w:lineRule="auto"/>
        <w:ind w:right="-450"/>
        <w:rPr>
          <w:rFonts w:ascii="Arial" w:hAnsi="Arial" w:cs="Arial"/>
          <w:sz w:val="24"/>
          <w:szCs w:val="24"/>
        </w:rPr>
      </w:pPr>
      <w:r w:rsidRPr="005548EB">
        <w:rPr>
          <w:rFonts w:ascii="Arial" w:hAnsi="Arial" w:cs="Arial"/>
          <w:sz w:val="24"/>
          <w:szCs w:val="24"/>
        </w:rPr>
        <w:t>Contact your QIO to file an appeal.</w:t>
      </w:r>
    </w:p>
    <w:p w:rsidR="00730306" w:rsidRPr="005548EB" w:rsidRDefault="00E6535B" w:rsidP="00730306">
      <w:pPr>
        <w:spacing w:after="0" w:line="240" w:lineRule="auto"/>
        <w:ind w:right="-450"/>
        <w:rPr>
          <w:rFonts w:ascii="Arial" w:hAnsi="Arial" w:cs="Arial"/>
          <w:b/>
          <w:sz w:val="24"/>
          <w:szCs w:val="24"/>
        </w:rPr>
      </w:pPr>
      <w:r>
        <w:rPr>
          <w:rFonts w:ascii="Arial" w:hAnsi="Arial" w:cs="Arial"/>
          <w:b/>
          <w:sz w:val="24"/>
          <w:szCs w:val="24"/>
        </w:rPr>
        <w:t>Mountain Pacific Quality Health</w:t>
      </w:r>
    </w:p>
    <w:p w:rsidR="005548EB" w:rsidRPr="005548EB" w:rsidRDefault="005548EB" w:rsidP="00730306">
      <w:pPr>
        <w:spacing w:after="0" w:line="240" w:lineRule="auto"/>
        <w:ind w:right="-450"/>
        <w:rPr>
          <w:rFonts w:ascii="Arial" w:hAnsi="Arial" w:cs="Arial"/>
          <w:b/>
          <w:sz w:val="24"/>
          <w:szCs w:val="24"/>
        </w:rPr>
      </w:pPr>
      <w:r w:rsidRPr="005548EB">
        <w:rPr>
          <w:rFonts w:ascii="Arial" w:hAnsi="Arial" w:cs="Arial"/>
          <w:b/>
          <w:sz w:val="24"/>
          <w:szCs w:val="24"/>
        </w:rPr>
        <w:t>1-800-</w:t>
      </w:r>
      <w:r w:rsidR="00E6535B">
        <w:rPr>
          <w:rFonts w:ascii="Arial" w:hAnsi="Arial" w:cs="Arial"/>
          <w:b/>
          <w:sz w:val="24"/>
          <w:szCs w:val="24"/>
        </w:rPr>
        <w:t>497-8232</w:t>
      </w:r>
    </w:p>
    <w:p w:rsidR="00730306" w:rsidRPr="005548EB" w:rsidRDefault="00730306" w:rsidP="00730306">
      <w:pPr>
        <w:spacing w:after="0" w:line="240" w:lineRule="auto"/>
        <w:ind w:right="-450"/>
        <w:rPr>
          <w:rFonts w:ascii="Arial" w:hAnsi="Arial" w:cs="Arial"/>
          <w:b/>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You may also contact the Long-Term Care Ombudsman:</w:t>
      </w:r>
    </w:p>
    <w:p w:rsidR="00730306" w:rsidRPr="005548EB" w:rsidRDefault="005548EB" w:rsidP="00730306">
      <w:pPr>
        <w:spacing w:after="0" w:line="240" w:lineRule="auto"/>
        <w:ind w:right="-450"/>
        <w:rPr>
          <w:rFonts w:ascii="Arial" w:hAnsi="Arial" w:cs="Arial"/>
          <w:b/>
          <w:sz w:val="24"/>
          <w:szCs w:val="24"/>
        </w:rPr>
      </w:pPr>
      <w:r w:rsidRPr="005548EB">
        <w:rPr>
          <w:rFonts w:ascii="Arial" w:hAnsi="Arial" w:cs="Arial"/>
          <w:b/>
          <w:sz w:val="24"/>
          <w:szCs w:val="24"/>
        </w:rPr>
        <w:t>Julie White</w:t>
      </w:r>
    </w:p>
    <w:p w:rsidR="005548EB" w:rsidRPr="005548EB" w:rsidRDefault="005548EB" w:rsidP="00730306">
      <w:pPr>
        <w:spacing w:after="0" w:line="240" w:lineRule="auto"/>
        <w:ind w:right="-450"/>
        <w:rPr>
          <w:rFonts w:ascii="Arial" w:hAnsi="Arial" w:cs="Arial"/>
          <w:b/>
          <w:sz w:val="24"/>
          <w:szCs w:val="24"/>
        </w:rPr>
      </w:pPr>
      <w:r w:rsidRPr="005548EB">
        <w:rPr>
          <w:rFonts w:ascii="Arial" w:hAnsi="Arial" w:cs="Arial"/>
          <w:b/>
          <w:sz w:val="24"/>
          <w:szCs w:val="24"/>
        </w:rPr>
        <w:t>406-741-3647 or 1-800-551-3191</w:t>
      </w:r>
    </w:p>
    <w:p w:rsidR="00730306" w:rsidRPr="005548EB" w:rsidRDefault="00730306" w:rsidP="00730306">
      <w:pPr>
        <w:spacing w:after="0" w:line="240" w:lineRule="auto"/>
        <w:ind w:right="-450"/>
        <w:rPr>
          <w:rFonts w:ascii="Arial" w:hAnsi="Arial" w:cs="Arial"/>
          <w:b/>
          <w:sz w:val="24"/>
          <w:szCs w:val="24"/>
        </w:rPr>
      </w:pPr>
    </w:p>
    <w:p w:rsidR="00730306" w:rsidRPr="005548EB" w:rsidRDefault="00730306" w:rsidP="00730306">
      <w:pPr>
        <w:spacing w:after="0" w:line="240" w:lineRule="auto"/>
        <w:ind w:right="-450"/>
        <w:rPr>
          <w:rFonts w:ascii="Arial" w:hAnsi="Arial" w:cs="Arial"/>
          <w:b/>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I have received and understand this notice</w:t>
      </w:r>
    </w:p>
    <w:p w:rsidR="00730306" w:rsidRPr="005548EB" w:rsidRDefault="00730306" w:rsidP="00730306">
      <w:pPr>
        <w:spacing w:after="0" w:line="240" w:lineRule="auto"/>
        <w:ind w:right="-450"/>
        <w:rPr>
          <w:rFonts w:ascii="Arial" w:hAnsi="Arial" w:cs="Arial"/>
          <w:sz w:val="24"/>
          <w:szCs w:val="24"/>
        </w:rPr>
      </w:pPr>
    </w:p>
    <w:p w:rsidR="005548EB"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xml:space="preserve">Patient/Representatives’ signature: </w:t>
      </w:r>
    </w:p>
    <w:p w:rsidR="005548EB" w:rsidRPr="005548EB" w:rsidRDefault="00E6535B" w:rsidP="00730306">
      <w:pPr>
        <w:spacing w:after="0" w:line="240" w:lineRule="auto"/>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-609600</wp:posOffset>
                </wp:positionH>
                <wp:positionV relativeFrom="paragraph">
                  <wp:posOffset>236855</wp:posOffset>
                </wp:positionV>
                <wp:extent cx="510540" cy="15240"/>
                <wp:effectExtent l="0" t="95250" r="0" b="99060"/>
                <wp:wrapNone/>
                <wp:docPr id="1" name="Straight Arrow Connector 1"/>
                <wp:cNvGraphicFramePr/>
                <a:graphic xmlns:a="http://schemas.openxmlformats.org/drawingml/2006/main">
                  <a:graphicData uri="http://schemas.microsoft.com/office/word/2010/wordprocessingShape">
                    <wps:wsp>
                      <wps:cNvCnPr/>
                      <wps:spPr>
                        <a:xfrm>
                          <a:off x="0" y="0"/>
                          <a:ext cx="510540" cy="1524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8C7A05" id="_x0000_t32" coordsize="21600,21600" o:spt="32" o:oned="t" path="m,l21600,21600e" filled="f">
                <v:path arrowok="t" fillok="f" o:connecttype="none"/>
                <o:lock v:ext="edit" shapetype="t"/>
              </v:shapetype>
              <v:shape id="Straight Arrow Connector 1" o:spid="_x0000_s1026" type="#_x0000_t32" style="position:absolute;margin-left:-48pt;margin-top:18.65pt;width:40.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" strokecolor="#ffc000 [3207]" strokeweight="2.25pt">
                <v:stroke endarrow="block" joinstyle="miter"/>
              </v:shape>
            </w:pict>
          </mc:Fallback>
        </mc:AlternateConten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________________________</w:t>
      </w:r>
      <w:r w:rsidR="005548EB" w:rsidRPr="005548EB">
        <w:rPr>
          <w:rFonts w:ascii="Arial" w:hAnsi="Arial" w:cs="Arial"/>
          <w:sz w:val="24"/>
          <w:szCs w:val="24"/>
        </w:rPr>
        <w:t>______________________</w:t>
      </w:r>
      <w:r w:rsidRPr="005548EB">
        <w:rPr>
          <w:rFonts w:ascii="Arial" w:hAnsi="Arial" w:cs="Arial"/>
          <w:sz w:val="24"/>
          <w:szCs w:val="24"/>
        </w:rPr>
        <w:t>___</w:t>
      </w:r>
      <w:r w:rsidR="005548EB">
        <w:rPr>
          <w:rFonts w:ascii="Arial" w:hAnsi="Arial" w:cs="Arial"/>
          <w:sz w:val="24"/>
          <w:szCs w:val="24"/>
        </w:rPr>
        <w:t>________________________</w:t>
      </w:r>
    </w:p>
    <w:p w:rsidR="00730306" w:rsidRPr="005548EB" w:rsidRDefault="00730306" w:rsidP="00730306">
      <w:pPr>
        <w:spacing w:after="0" w:line="240" w:lineRule="auto"/>
        <w:ind w:right="-450"/>
        <w:rPr>
          <w:rFonts w:ascii="Arial" w:hAnsi="Arial" w:cs="Arial"/>
          <w:sz w:val="24"/>
          <w:szCs w:val="24"/>
        </w:rPr>
      </w:pP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___________  ______________________________________</w:t>
      </w:r>
    </w:p>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 xml:space="preserve">      (Time)                                  (Date)</w:t>
      </w:r>
    </w:p>
    <w:p w:rsidR="00730306" w:rsidRPr="005548EB" w:rsidRDefault="00730306" w:rsidP="00730306">
      <w:pPr>
        <w:spacing w:after="0" w:line="240" w:lineRule="auto"/>
        <w:ind w:right="-450"/>
        <w:rPr>
          <w:rFonts w:ascii="Arial" w:hAnsi="Arial" w:cs="Arial"/>
          <w:sz w:val="24"/>
          <w:szCs w:val="24"/>
        </w:rPr>
      </w:pPr>
      <w:bookmarkStart w:id="0" w:name="_GoBack"/>
    </w:p>
    <w:bookmarkEnd w:id="0"/>
    <w:p w:rsidR="00730306" w:rsidRPr="005548EB" w:rsidRDefault="00730306" w:rsidP="00730306">
      <w:pPr>
        <w:spacing w:after="0" w:line="240" w:lineRule="auto"/>
        <w:ind w:right="-450"/>
        <w:rPr>
          <w:rFonts w:ascii="Arial" w:hAnsi="Arial" w:cs="Arial"/>
          <w:sz w:val="24"/>
          <w:szCs w:val="24"/>
        </w:rPr>
      </w:pPr>
      <w:r w:rsidRPr="005548EB">
        <w:rPr>
          <w:rFonts w:ascii="Arial" w:hAnsi="Arial" w:cs="Arial"/>
          <w:sz w:val="24"/>
          <w:szCs w:val="24"/>
        </w:rPr>
        <w:t>Witness:</w:t>
      </w:r>
    </w:p>
    <w:p w:rsidR="00730306" w:rsidRPr="005548EB" w:rsidRDefault="00E6535B" w:rsidP="00730306">
      <w:pPr>
        <w:spacing w:after="0" w:line="240" w:lineRule="auto"/>
        <w:ind w:right="-45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0B9570F" wp14:editId="514DB38A">
                <wp:simplePos x="0" y="0"/>
                <wp:positionH relativeFrom="column">
                  <wp:posOffset>-586740</wp:posOffset>
                </wp:positionH>
                <wp:positionV relativeFrom="paragraph">
                  <wp:posOffset>99695</wp:posOffset>
                </wp:positionV>
                <wp:extent cx="510540" cy="15240"/>
                <wp:effectExtent l="0" t="95250" r="0" b="99060"/>
                <wp:wrapNone/>
                <wp:docPr id="2" name="Straight Arrow Connector 2"/>
                <wp:cNvGraphicFramePr/>
                <a:graphic xmlns:a="http://schemas.openxmlformats.org/drawingml/2006/main">
                  <a:graphicData uri="http://schemas.microsoft.com/office/word/2010/wordprocessingShape">
                    <wps:wsp>
                      <wps:cNvCnPr/>
                      <wps:spPr>
                        <a:xfrm>
                          <a:off x="0" y="0"/>
                          <a:ext cx="510540" cy="15240"/>
                        </a:xfrm>
                        <a:prstGeom prst="straightConnector1">
                          <a:avLst/>
                        </a:prstGeom>
                        <a:ln w="28575">
                          <a:solidFill>
                            <a:schemeClr val="accent4"/>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7A37A9" id="Straight Arrow Connector 2" o:spid="_x0000_s1026" type="#_x0000_t32" style="position:absolute;margin-left:-46.2pt;margin-top:7.85pt;width:40.2pt;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" strokecolor="#ffc000 [3207]" strokeweight="2.25pt">
                <v:stroke endarrow="block" joinstyle="miter"/>
              </v:shape>
            </w:pict>
          </mc:Fallback>
        </mc:AlternateContent>
      </w:r>
      <w:r w:rsidR="00730306" w:rsidRPr="005548EB">
        <w:rPr>
          <w:rFonts w:ascii="Arial" w:hAnsi="Arial" w:cs="Arial"/>
          <w:sz w:val="24"/>
          <w:szCs w:val="24"/>
        </w:rPr>
        <w:t>___________________</w:t>
      </w:r>
      <w:r w:rsidR="005548EB" w:rsidRPr="005548EB">
        <w:rPr>
          <w:rFonts w:ascii="Arial" w:hAnsi="Arial" w:cs="Arial"/>
          <w:sz w:val="24"/>
          <w:szCs w:val="24"/>
        </w:rPr>
        <w:t>______________________</w:t>
      </w:r>
      <w:r w:rsidR="00730306" w:rsidRPr="005548EB">
        <w:rPr>
          <w:rFonts w:ascii="Arial" w:hAnsi="Arial" w:cs="Arial"/>
          <w:sz w:val="24"/>
          <w:szCs w:val="24"/>
        </w:rPr>
        <w:t>__________</w:t>
      </w:r>
      <w:r w:rsidR="005548EB">
        <w:rPr>
          <w:rFonts w:ascii="Arial" w:hAnsi="Arial" w:cs="Arial"/>
          <w:sz w:val="24"/>
          <w:szCs w:val="24"/>
        </w:rPr>
        <w:t>______________________</w:t>
      </w:r>
    </w:p>
    <w:p w:rsidR="0074498C" w:rsidRDefault="0074498C"/>
    <w:sectPr w:rsidR="00744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033D0"/>
    <w:multiLevelType w:val="hybridMultilevel"/>
    <w:tmpl w:val="D0504BC0"/>
    <w:lvl w:ilvl="0" w:tplc="667C25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06"/>
    <w:rsid w:val="005548EB"/>
    <w:rsid w:val="00730306"/>
    <w:rsid w:val="0074498C"/>
    <w:rsid w:val="00E6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DAAE"/>
  <w15:chartTrackingRefBased/>
  <w15:docId w15:val="{E3378081-6E4A-418B-B2F0-68688F46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Clark Fork Valley Hospital</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Grossberg, Danita</dc:creator>
  <cp:keywords/>
  <dc:description/>
  <cp:lastModifiedBy>Grossberg, Danita</cp:lastModifiedBy>
  <cp:revision>2</cp:revision>
  <dcterms:created xsi:type="dcterms:W3CDTF">2022-03-10T21:48:00Z</dcterms:created>
  <dcterms:modified xsi:type="dcterms:W3CDTF">2022-03-21T16:26:00Z</dcterms:modified>
</cp:coreProperties>
</file>