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CA14" w14:textId="77777777" w:rsidR="00572E4A" w:rsidRPr="00EB7D94" w:rsidRDefault="00EB7D94" w:rsidP="00EB7D94">
      <w:pPr>
        <w:jc w:val="center"/>
        <w:rPr>
          <w:rFonts w:asciiTheme="majorHAnsi" w:hAnsiTheme="majorHAnsi"/>
          <w:b/>
          <w:sz w:val="28"/>
        </w:rPr>
      </w:pPr>
      <w:r w:rsidRPr="00EB7D94">
        <w:rPr>
          <w:rFonts w:asciiTheme="majorHAnsi" w:hAnsiTheme="majorHAnsi"/>
          <w:b/>
          <w:sz w:val="28"/>
        </w:rPr>
        <w:t xml:space="preserve">Rapid Improvement Event </w:t>
      </w:r>
      <w:r w:rsidR="00461214">
        <w:rPr>
          <w:rFonts w:asciiTheme="majorHAnsi" w:hAnsiTheme="majorHAnsi"/>
          <w:b/>
          <w:sz w:val="28"/>
        </w:rPr>
        <w:t>Scope &amp; Objectives</w:t>
      </w:r>
    </w:p>
    <w:p w14:paraId="6EC71171" w14:textId="77777777" w:rsidR="00EB7D94" w:rsidRDefault="00EB7D94"/>
    <w:tbl>
      <w:tblPr>
        <w:tblStyle w:val="TableGrid"/>
        <w:tblW w:w="0" w:type="auto"/>
        <w:tblLook w:val="04A0" w:firstRow="1" w:lastRow="0" w:firstColumn="1" w:lastColumn="0" w:noHBand="0" w:noVBand="1"/>
      </w:tblPr>
      <w:tblGrid>
        <w:gridCol w:w="1908"/>
        <w:gridCol w:w="7295"/>
      </w:tblGrid>
      <w:tr w:rsidR="00EB7D94" w14:paraId="77C70A21" w14:textId="77777777" w:rsidTr="2B960A13">
        <w:tc>
          <w:tcPr>
            <w:tcW w:w="1908" w:type="dxa"/>
          </w:tcPr>
          <w:p w14:paraId="65F51462" w14:textId="77777777" w:rsidR="00EB7D94" w:rsidRPr="00EB7D94" w:rsidRDefault="00EB7D94" w:rsidP="00EB7D94">
            <w:pPr>
              <w:spacing w:before="120" w:after="120"/>
              <w:rPr>
                <w:b/>
                <w:color w:val="1F497D" w:themeColor="text2"/>
              </w:rPr>
            </w:pPr>
            <w:r>
              <w:rPr>
                <w:b/>
                <w:color w:val="1F497D" w:themeColor="text2"/>
              </w:rPr>
              <w:t>Project Name</w:t>
            </w:r>
          </w:p>
        </w:tc>
        <w:tc>
          <w:tcPr>
            <w:tcW w:w="7295" w:type="dxa"/>
          </w:tcPr>
          <w:p w14:paraId="061BE905" w14:textId="10EB6CA4" w:rsidR="00EB7D94" w:rsidRDefault="00DE064B" w:rsidP="007E762F">
            <w:pPr>
              <w:spacing w:before="120" w:after="120"/>
            </w:pPr>
            <w:r>
              <w:t xml:space="preserve">Inventory Management </w:t>
            </w:r>
          </w:p>
        </w:tc>
      </w:tr>
      <w:tr w:rsidR="00EB7D94" w14:paraId="5287F69D" w14:textId="77777777" w:rsidTr="2B960A13">
        <w:tc>
          <w:tcPr>
            <w:tcW w:w="1908" w:type="dxa"/>
          </w:tcPr>
          <w:p w14:paraId="29DC7F5D" w14:textId="77777777" w:rsidR="00EB7D94" w:rsidRPr="00EB7D94" w:rsidRDefault="00EB7D94" w:rsidP="00EB7D94">
            <w:pPr>
              <w:spacing w:before="120" w:after="120"/>
              <w:rPr>
                <w:b/>
                <w:color w:val="1F497D" w:themeColor="text2"/>
              </w:rPr>
            </w:pPr>
            <w:r>
              <w:rPr>
                <w:b/>
                <w:color w:val="1F497D" w:themeColor="text2"/>
              </w:rPr>
              <w:t>Facility and Facility Location</w:t>
            </w:r>
          </w:p>
        </w:tc>
        <w:tc>
          <w:tcPr>
            <w:tcW w:w="7295" w:type="dxa"/>
          </w:tcPr>
          <w:p w14:paraId="662D01CB" w14:textId="77777777" w:rsidR="00500663" w:rsidRDefault="00DE064B" w:rsidP="007E762F">
            <w:pPr>
              <w:spacing w:before="120" w:after="120"/>
            </w:pPr>
            <w:r>
              <w:t>Billings Clinic Broadwater ER – Townsend, MT</w:t>
            </w:r>
          </w:p>
          <w:p w14:paraId="0B0ED181" w14:textId="125A1889" w:rsidR="000A7576" w:rsidRDefault="000A7576" w:rsidP="007E762F">
            <w:pPr>
              <w:spacing w:before="120" w:after="120"/>
            </w:pPr>
            <w:r>
              <w:t>110 N Oak St. 59644</w:t>
            </w:r>
          </w:p>
        </w:tc>
      </w:tr>
      <w:tr w:rsidR="00EB7D94" w14:paraId="2D4751BF" w14:textId="77777777" w:rsidTr="2B960A13">
        <w:tc>
          <w:tcPr>
            <w:tcW w:w="1908" w:type="dxa"/>
          </w:tcPr>
          <w:p w14:paraId="450CBA14" w14:textId="77777777" w:rsidR="00EB7D94" w:rsidRPr="00EB7D94" w:rsidRDefault="00EB7D94" w:rsidP="00EB7D94">
            <w:pPr>
              <w:spacing w:before="120" w:after="120"/>
              <w:rPr>
                <w:b/>
                <w:color w:val="1F497D" w:themeColor="text2"/>
              </w:rPr>
            </w:pPr>
            <w:r>
              <w:rPr>
                <w:b/>
                <w:color w:val="1F497D" w:themeColor="text2"/>
              </w:rPr>
              <w:t>Event Dates</w:t>
            </w:r>
          </w:p>
        </w:tc>
        <w:tc>
          <w:tcPr>
            <w:tcW w:w="7295" w:type="dxa"/>
          </w:tcPr>
          <w:p w14:paraId="144B7154" w14:textId="565E8C1B" w:rsidR="00EB7D94" w:rsidRDefault="00DE064B" w:rsidP="007E762F">
            <w:pPr>
              <w:spacing w:before="120" w:after="120"/>
            </w:pPr>
            <w:r>
              <w:t xml:space="preserve">June 20 – July 1 </w:t>
            </w:r>
            <w:r w:rsidR="000A7576">
              <w:t>2022</w:t>
            </w:r>
          </w:p>
        </w:tc>
      </w:tr>
      <w:tr w:rsidR="00EB7D94" w14:paraId="2A57A23D" w14:textId="77777777" w:rsidTr="2B960A13">
        <w:tc>
          <w:tcPr>
            <w:tcW w:w="1908" w:type="dxa"/>
          </w:tcPr>
          <w:p w14:paraId="2417E900" w14:textId="77777777" w:rsidR="00EB7D94" w:rsidRPr="00EB7D94" w:rsidRDefault="00EB7D94" w:rsidP="00CC7D20">
            <w:pPr>
              <w:spacing w:before="120" w:after="120"/>
              <w:rPr>
                <w:b/>
                <w:color w:val="1F497D" w:themeColor="text2"/>
              </w:rPr>
            </w:pPr>
            <w:r>
              <w:rPr>
                <w:b/>
                <w:color w:val="1F497D" w:themeColor="text2"/>
              </w:rPr>
              <w:t xml:space="preserve">Project </w:t>
            </w:r>
            <w:r w:rsidR="00CC7D20">
              <w:rPr>
                <w:b/>
                <w:color w:val="1F497D" w:themeColor="text2"/>
              </w:rPr>
              <w:t>Point of Contact</w:t>
            </w:r>
          </w:p>
        </w:tc>
        <w:tc>
          <w:tcPr>
            <w:tcW w:w="7295" w:type="dxa"/>
          </w:tcPr>
          <w:p w14:paraId="44526BF5" w14:textId="09EE9321" w:rsidR="00EB7D94" w:rsidRDefault="00CC7D20" w:rsidP="007E762F">
            <w:pPr>
              <w:spacing w:before="120" w:after="120"/>
            </w:pPr>
            <w:r w:rsidRPr="00CC7D20">
              <w:rPr>
                <w:b/>
              </w:rPr>
              <w:t>Name</w:t>
            </w:r>
            <w:r>
              <w:t>: A</w:t>
            </w:r>
            <w:r w:rsidR="00DE064B">
              <w:t>pril Baker</w:t>
            </w:r>
          </w:p>
          <w:p w14:paraId="2904705F" w14:textId="36C89061" w:rsidR="00CC7D20" w:rsidRDefault="00CC7D20" w:rsidP="00CD3146">
            <w:pPr>
              <w:spacing w:before="120" w:after="120"/>
            </w:pPr>
            <w:r w:rsidRPr="2763514B">
              <w:rPr>
                <w:b/>
                <w:bCs/>
              </w:rPr>
              <w:t>Contact Info</w:t>
            </w:r>
            <w:r>
              <w:t>: (</w:t>
            </w:r>
            <w:r w:rsidR="00DE064B">
              <w:t xml:space="preserve">406) 266-3816 </w:t>
            </w:r>
            <w:hyperlink r:id="rId7" w:history="1">
              <w:r w:rsidR="00A86B4A" w:rsidRPr="009B253E">
                <w:rPr>
                  <w:rStyle w:val="Hyperlink"/>
                </w:rPr>
                <w:t>abaker4@billingsclinic.org</w:t>
              </w:r>
            </w:hyperlink>
            <w:r w:rsidR="00A86B4A">
              <w:t xml:space="preserve"> </w:t>
            </w:r>
          </w:p>
        </w:tc>
      </w:tr>
      <w:tr w:rsidR="00CC7D20" w14:paraId="3B5969B3" w14:textId="77777777" w:rsidTr="2B960A13">
        <w:tc>
          <w:tcPr>
            <w:tcW w:w="1908" w:type="dxa"/>
          </w:tcPr>
          <w:p w14:paraId="7EF7BAB3" w14:textId="77777777" w:rsidR="00CC7D20" w:rsidRDefault="00CC7D20" w:rsidP="00EB7D94">
            <w:pPr>
              <w:spacing w:before="120" w:after="120"/>
              <w:rPr>
                <w:b/>
                <w:color w:val="1F497D" w:themeColor="text2"/>
              </w:rPr>
            </w:pPr>
            <w:r>
              <w:rPr>
                <w:b/>
                <w:color w:val="1F497D" w:themeColor="text2"/>
              </w:rPr>
              <w:t>Sponsoring Department(s)</w:t>
            </w:r>
          </w:p>
        </w:tc>
        <w:tc>
          <w:tcPr>
            <w:tcW w:w="7295" w:type="dxa"/>
          </w:tcPr>
          <w:p w14:paraId="6B417BB5" w14:textId="77777777" w:rsidR="00CC7D20" w:rsidRDefault="00A86B4A" w:rsidP="007E762F">
            <w:pPr>
              <w:spacing w:before="120" w:after="120"/>
            </w:pPr>
            <w:r>
              <w:t>BCB ER</w:t>
            </w:r>
          </w:p>
          <w:p w14:paraId="00C25C3E" w14:textId="7C942CF6" w:rsidR="00274125" w:rsidRPr="00274125" w:rsidRDefault="00274125" w:rsidP="007E762F">
            <w:pPr>
              <w:spacing w:before="120" w:after="120"/>
              <w:rPr>
                <w:i/>
              </w:rPr>
            </w:pPr>
            <w:r w:rsidRPr="00274125">
              <w:rPr>
                <w:i/>
                <w:color w:val="5F497A" w:themeColor="accent4" w:themeShade="BF"/>
              </w:rPr>
              <w:t>+ Central Supply (Shienne)</w:t>
            </w:r>
          </w:p>
        </w:tc>
      </w:tr>
      <w:tr w:rsidR="00EB7D94" w14:paraId="2C42D927" w14:textId="77777777" w:rsidTr="2B960A13">
        <w:tc>
          <w:tcPr>
            <w:tcW w:w="1908" w:type="dxa"/>
          </w:tcPr>
          <w:p w14:paraId="7038D430" w14:textId="77777777" w:rsidR="00EB7D94" w:rsidRDefault="00EB7D94" w:rsidP="00EB7D94">
            <w:pPr>
              <w:spacing w:before="120" w:after="120"/>
              <w:rPr>
                <w:b/>
                <w:color w:val="1F497D" w:themeColor="text2"/>
              </w:rPr>
            </w:pPr>
            <w:r>
              <w:rPr>
                <w:b/>
                <w:color w:val="1F497D" w:themeColor="text2"/>
              </w:rPr>
              <w:t>Issue/problems experienced with current process</w:t>
            </w:r>
          </w:p>
        </w:tc>
        <w:tc>
          <w:tcPr>
            <w:tcW w:w="7295" w:type="dxa"/>
          </w:tcPr>
          <w:p w14:paraId="717B8703" w14:textId="77777777" w:rsidR="00500663" w:rsidRDefault="00DE064B" w:rsidP="00500663">
            <w:pPr>
              <w:spacing w:before="120" w:after="120"/>
            </w:pPr>
            <w:r>
              <w:t xml:space="preserve">Need to move ER supplies from old space to new space. </w:t>
            </w:r>
            <w:r w:rsidRPr="001A171E">
              <w:rPr>
                <w:b/>
              </w:rPr>
              <w:t>The new space has less storage, needs to look at PAR levels and optimize the space</w:t>
            </w:r>
            <w:r>
              <w:t>.</w:t>
            </w:r>
          </w:p>
          <w:p w14:paraId="496E4AB2" w14:textId="270B2B99" w:rsidR="001A171E" w:rsidRDefault="001A171E" w:rsidP="00500663">
            <w:pPr>
              <w:spacing w:before="120" w:after="120"/>
              <w:rPr>
                <w:i/>
                <w:color w:val="5F497A" w:themeColor="accent4" w:themeShade="BF"/>
              </w:rPr>
            </w:pPr>
            <w:r w:rsidRPr="001A171E">
              <w:rPr>
                <w:i/>
                <w:color w:val="5F497A" w:themeColor="accent4" w:themeShade="BF"/>
              </w:rPr>
              <w:t>Two ER beds in one space, just built on 3 additional ER bays and those are in preparation for use. Currently all supplies in old space and will need to be moved to new space. There is more space, but less storage (cabinets etc) in new space. Keep from getting cluttered and overstocked.</w:t>
            </w:r>
            <w:r>
              <w:rPr>
                <w:i/>
                <w:color w:val="5F497A" w:themeColor="accent4" w:themeShade="BF"/>
              </w:rPr>
              <w:t xml:space="preserve">  Anticipate being in the space in 4-6 weeks (waiting for monitors etc). </w:t>
            </w:r>
            <w:r w:rsidR="00274125">
              <w:rPr>
                <w:i/>
                <w:color w:val="5F497A" w:themeColor="accent4" w:themeShade="BF"/>
              </w:rPr>
              <w:t>Even if not officially ready the student can still be in the space.  Will still use old space (2 beds) for overflow patients – not planned to be fully stocked.</w:t>
            </w:r>
          </w:p>
          <w:p w14:paraId="28DA46C2" w14:textId="17927470" w:rsidR="00274125" w:rsidRDefault="00274125" w:rsidP="00500663">
            <w:pPr>
              <w:spacing w:before="120" w:after="120"/>
              <w:rPr>
                <w:i/>
                <w:color w:val="5F497A" w:themeColor="accent4" w:themeShade="BF"/>
              </w:rPr>
            </w:pPr>
            <w:r>
              <w:rPr>
                <w:i/>
                <w:color w:val="5F497A" w:themeColor="accent4" w:themeShade="BF"/>
              </w:rPr>
              <w:t>2 bays are mirrored.</w:t>
            </w:r>
          </w:p>
          <w:p w14:paraId="04450C40" w14:textId="68095677" w:rsidR="00274125" w:rsidRDefault="00274125" w:rsidP="00500663">
            <w:pPr>
              <w:spacing w:before="120" w:after="120"/>
              <w:rPr>
                <w:i/>
                <w:color w:val="5F497A" w:themeColor="accent4" w:themeShade="BF"/>
              </w:rPr>
            </w:pPr>
            <w:r>
              <w:rPr>
                <w:i/>
                <w:color w:val="5F497A" w:themeColor="accent4" w:themeShade="BF"/>
              </w:rPr>
              <w:t xml:space="preserve">Central supply stocks facility Mon-Fri (single staff). </w:t>
            </w:r>
          </w:p>
          <w:p w14:paraId="4946F0F7" w14:textId="1B173C64" w:rsidR="008548A9" w:rsidRDefault="008548A9" w:rsidP="00500663">
            <w:pPr>
              <w:spacing w:before="120" w:after="120"/>
              <w:rPr>
                <w:i/>
                <w:color w:val="5F497A" w:themeColor="accent4" w:themeShade="BF"/>
              </w:rPr>
            </w:pPr>
            <w:r>
              <w:rPr>
                <w:i/>
                <w:color w:val="5F497A" w:themeColor="accent4" w:themeShade="BF"/>
              </w:rPr>
              <w:t>A scan gun is available but is not functioning so the process is more “look and see”.</w:t>
            </w:r>
          </w:p>
          <w:p w14:paraId="4F312AC6" w14:textId="38184616" w:rsidR="00274125" w:rsidRPr="001A171E" w:rsidRDefault="00274125" w:rsidP="00500663">
            <w:pPr>
              <w:spacing w:before="120" w:after="120"/>
              <w:rPr>
                <w:i/>
              </w:rPr>
            </w:pPr>
            <w:r>
              <w:rPr>
                <w:i/>
                <w:color w:val="5F497A" w:themeColor="accent4" w:themeShade="BF"/>
              </w:rPr>
              <w:t xml:space="preserve"> </w:t>
            </w:r>
            <w:r w:rsidR="008548A9">
              <w:rPr>
                <w:i/>
                <w:color w:val="5F497A" w:themeColor="accent4" w:themeShade="BF"/>
              </w:rPr>
              <w:t>Staffing: 1 provider, 1 RN on 24/7 (6-6).   During day other site on staff that can come as needed.   Second RN for IP care.  Providers work 24s.   Student can expect to work with 3-4 providers during the 2 week period.</w:t>
            </w:r>
          </w:p>
        </w:tc>
      </w:tr>
      <w:tr w:rsidR="00241E73" w14:paraId="4014B97D" w14:textId="77777777" w:rsidTr="2B960A13">
        <w:tc>
          <w:tcPr>
            <w:tcW w:w="1908" w:type="dxa"/>
          </w:tcPr>
          <w:p w14:paraId="1B91843D" w14:textId="77777777" w:rsidR="00241E73" w:rsidRPr="00EB7D94" w:rsidRDefault="00241E73" w:rsidP="00572E4A">
            <w:pPr>
              <w:spacing w:before="120" w:after="120"/>
              <w:rPr>
                <w:b/>
                <w:color w:val="1F497D" w:themeColor="text2"/>
              </w:rPr>
            </w:pPr>
            <w:r>
              <w:rPr>
                <w:b/>
                <w:color w:val="1F497D" w:themeColor="text2"/>
              </w:rPr>
              <w:t>Objectives</w:t>
            </w:r>
          </w:p>
        </w:tc>
        <w:tc>
          <w:tcPr>
            <w:tcW w:w="7295" w:type="dxa"/>
          </w:tcPr>
          <w:p w14:paraId="388ACE2F" w14:textId="6978F0BF" w:rsidR="00CC7D20" w:rsidRDefault="002F21AA" w:rsidP="008E177D">
            <w:pPr>
              <w:spacing w:before="120" w:after="120"/>
            </w:pPr>
            <w:r>
              <w:t xml:space="preserve">Reduce waste, reduce amount of revenue lost on </w:t>
            </w:r>
            <w:r w:rsidRPr="00274125">
              <w:rPr>
                <w:b/>
              </w:rPr>
              <w:t>outdates and overstocking</w:t>
            </w:r>
            <w:r>
              <w:t xml:space="preserve">. </w:t>
            </w:r>
            <w:r w:rsidR="00274125">
              <w:t>Keeping appropriate PAR levels.</w:t>
            </w:r>
          </w:p>
        </w:tc>
      </w:tr>
      <w:tr w:rsidR="00241E73" w14:paraId="10CFBE79" w14:textId="77777777" w:rsidTr="2B960A13">
        <w:tc>
          <w:tcPr>
            <w:tcW w:w="1908" w:type="dxa"/>
          </w:tcPr>
          <w:p w14:paraId="761CD722" w14:textId="77777777" w:rsidR="00241E73" w:rsidRPr="00EB7D94" w:rsidRDefault="00241E73" w:rsidP="00572E4A">
            <w:pPr>
              <w:spacing w:before="120" w:after="120"/>
              <w:rPr>
                <w:b/>
                <w:color w:val="1F497D" w:themeColor="text2"/>
              </w:rPr>
            </w:pPr>
            <w:r>
              <w:rPr>
                <w:b/>
                <w:color w:val="1F497D" w:themeColor="text2"/>
              </w:rPr>
              <w:t>Metrics</w:t>
            </w:r>
          </w:p>
        </w:tc>
        <w:tc>
          <w:tcPr>
            <w:tcW w:w="7295" w:type="dxa"/>
          </w:tcPr>
          <w:p w14:paraId="6EB8E7A4" w14:textId="6B19F78F" w:rsidR="00CC7D20" w:rsidRDefault="002F21AA" w:rsidP="00CC7D20">
            <w:pPr>
              <w:spacing w:before="120" w:after="120"/>
            </w:pPr>
            <w:r>
              <w:t xml:space="preserve">PAR levels are easy to maintain with a process in place to increase or decrease levels based on usage. Reduction in time wasted looking for supplies in too many locations. </w:t>
            </w:r>
          </w:p>
          <w:p w14:paraId="5E3B1B84" w14:textId="27E5E34C" w:rsidR="008548A9" w:rsidRPr="008548A9" w:rsidRDefault="008548A9" w:rsidP="008548A9">
            <w:pPr>
              <w:pStyle w:val="ListParagraph"/>
              <w:numPr>
                <w:ilvl w:val="0"/>
                <w:numId w:val="3"/>
              </w:numPr>
              <w:spacing w:before="120" w:after="120"/>
              <w:rPr>
                <w:i/>
                <w:color w:val="5F497A" w:themeColor="accent4" w:themeShade="BF"/>
              </w:rPr>
            </w:pPr>
            <w:r w:rsidRPr="008548A9">
              <w:rPr>
                <w:i/>
                <w:color w:val="5F497A" w:themeColor="accent4" w:themeShade="BF"/>
              </w:rPr>
              <w:t>$ value of supply stored on hand in the ED</w:t>
            </w:r>
          </w:p>
          <w:p w14:paraId="4B7634AD" w14:textId="23FE6EBE" w:rsidR="00274125" w:rsidRPr="008548A9" w:rsidRDefault="008548A9" w:rsidP="008548A9">
            <w:pPr>
              <w:pStyle w:val="ListParagraph"/>
              <w:numPr>
                <w:ilvl w:val="0"/>
                <w:numId w:val="3"/>
              </w:numPr>
              <w:spacing w:before="120" w:after="120"/>
              <w:rPr>
                <w:b/>
              </w:rPr>
            </w:pPr>
            <w:r w:rsidRPr="008548A9">
              <w:rPr>
                <w:i/>
                <w:color w:val="5F497A" w:themeColor="accent4" w:themeShade="BF"/>
              </w:rPr>
              <w:t>Students may be able to determine a way to measure/quantify waste.</w:t>
            </w:r>
          </w:p>
        </w:tc>
      </w:tr>
      <w:tr w:rsidR="00241E73" w14:paraId="3D57C692" w14:textId="77777777" w:rsidTr="2B960A13">
        <w:tc>
          <w:tcPr>
            <w:tcW w:w="1908" w:type="dxa"/>
          </w:tcPr>
          <w:p w14:paraId="0CCAD179" w14:textId="77777777" w:rsidR="00241E73" w:rsidRDefault="00241E73" w:rsidP="00EB7D94">
            <w:pPr>
              <w:spacing w:before="120" w:after="120"/>
              <w:rPr>
                <w:b/>
                <w:color w:val="1F497D" w:themeColor="text2"/>
              </w:rPr>
            </w:pPr>
            <w:r>
              <w:rPr>
                <w:b/>
                <w:color w:val="1F497D" w:themeColor="text2"/>
              </w:rPr>
              <w:lastRenderedPageBreak/>
              <w:t>In Scope</w:t>
            </w:r>
          </w:p>
        </w:tc>
        <w:tc>
          <w:tcPr>
            <w:tcW w:w="7295" w:type="dxa"/>
          </w:tcPr>
          <w:p w14:paraId="140FADF7" w14:textId="680BBC92" w:rsidR="008548A9" w:rsidRDefault="00A86B4A" w:rsidP="00500663">
            <w:pPr>
              <w:spacing w:before="120" w:after="120"/>
            </w:pPr>
            <w:r>
              <w:t>Supply room ordering/stoc</w:t>
            </w:r>
            <w:r w:rsidR="008548A9">
              <w:t xml:space="preserve">king – </w:t>
            </w:r>
            <w:r w:rsidR="008548A9" w:rsidRPr="008548A9">
              <w:rPr>
                <w:b/>
              </w:rPr>
              <w:t>maintenance of PAR leve</w:t>
            </w:r>
            <w:r w:rsidR="008548A9">
              <w:t>l</w:t>
            </w:r>
          </w:p>
          <w:p w14:paraId="18BD030E" w14:textId="77777777" w:rsidR="00274125" w:rsidRDefault="00274125" w:rsidP="00500663">
            <w:pPr>
              <w:spacing w:before="120" w:after="120"/>
              <w:rPr>
                <w:i/>
                <w:color w:val="5F497A" w:themeColor="accent4" w:themeShade="BF"/>
              </w:rPr>
            </w:pPr>
            <w:r w:rsidRPr="00274125">
              <w:rPr>
                <w:i/>
                <w:color w:val="5F497A" w:themeColor="accent4" w:themeShade="BF"/>
              </w:rPr>
              <w:t>There are resources for shelving, etc depending on solutions proposed by student.</w:t>
            </w:r>
          </w:p>
          <w:p w14:paraId="5BD2B432" w14:textId="64E5E94F" w:rsidR="00274125" w:rsidRPr="00274125" w:rsidRDefault="00274125" w:rsidP="00274125">
            <w:pPr>
              <w:spacing w:before="120" w:after="120"/>
              <w:rPr>
                <w:i/>
              </w:rPr>
            </w:pPr>
            <w:r>
              <w:rPr>
                <w:i/>
                <w:color w:val="5F497A" w:themeColor="accent4" w:themeShade="BF"/>
              </w:rPr>
              <w:t>Student will look at current state and what the current use of supplies in ER is like.</w:t>
            </w:r>
          </w:p>
        </w:tc>
      </w:tr>
      <w:tr w:rsidR="00241E73" w14:paraId="659FDC5C" w14:textId="77777777" w:rsidTr="2B960A13">
        <w:tc>
          <w:tcPr>
            <w:tcW w:w="1908" w:type="dxa"/>
          </w:tcPr>
          <w:p w14:paraId="6B6991CC" w14:textId="77777777" w:rsidR="00241E73" w:rsidRDefault="00241E73" w:rsidP="00EB7D94">
            <w:pPr>
              <w:spacing w:before="120" w:after="120"/>
              <w:rPr>
                <w:b/>
                <w:color w:val="1F497D" w:themeColor="text2"/>
              </w:rPr>
            </w:pPr>
            <w:r>
              <w:rPr>
                <w:b/>
                <w:color w:val="1F497D" w:themeColor="text2"/>
              </w:rPr>
              <w:t>Out of Scope</w:t>
            </w:r>
          </w:p>
        </w:tc>
        <w:tc>
          <w:tcPr>
            <w:tcW w:w="7295" w:type="dxa"/>
          </w:tcPr>
          <w:p w14:paraId="43587320" w14:textId="77777777" w:rsidR="00CC7D20" w:rsidRDefault="00A86B4A" w:rsidP="008E177D">
            <w:pPr>
              <w:spacing w:before="120" w:after="120"/>
            </w:pPr>
            <w:r>
              <w:t>Limited storage in new space, unk PAR levels</w:t>
            </w:r>
          </w:p>
          <w:p w14:paraId="4C0B393E" w14:textId="02D972E9" w:rsidR="008548A9" w:rsidRPr="008548A9" w:rsidRDefault="008548A9" w:rsidP="008E177D">
            <w:pPr>
              <w:spacing w:before="120" w:after="120"/>
              <w:rPr>
                <w:i/>
              </w:rPr>
            </w:pPr>
            <w:r>
              <w:rPr>
                <w:i/>
                <w:color w:val="5F497A" w:themeColor="accent4" w:themeShade="BF"/>
              </w:rPr>
              <w:t>Students</w:t>
            </w:r>
            <w:r w:rsidRPr="008548A9">
              <w:rPr>
                <w:i/>
                <w:color w:val="5F497A" w:themeColor="accent4" w:themeShade="BF"/>
              </w:rPr>
              <w:t xml:space="preserve"> can do checklists likely just not all of the documentation linking depts such as billing, SOPs, etc.</w:t>
            </w:r>
          </w:p>
        </w:tc>
      </w:tr>
      <w:tr w:rsidR="00D55052" w14:paraId="3BB0AA87" w14:textId="77777777" w:rsidTr="2B960A13">
        <w:tc>
          <w:tcPr>
            <w:tcW w:w="1908" w:type="dxa"/>
          </w:tcPr>
          <w:p w14:paraId="40D59149" w14:textId="77777777" w:rsidR="00D55052" w:rsidRDefault="00D55052" w:rsidP="00EB7D94">
            <w:pPr>
              <w:spacing w:before="120" w:after="120"/>
              <w:rPr>
                <w:b/>
                <w:color w:val="1F497D" w:themeColor="text2"/>
              </w:rPr>
            </w:pPr>
            <w:r>
              <w:rPr>
                <w:b/>
                <w:color w:val="1F497D" w:themeColor="text2"/>
              </w:rPr>
              <w:t>Existing Data</w:t>
            </w:r>
          </w:p>
        </w:tc>
        <w:tc>
          <w:tcPr>
            <w:tcW w:w="7295" w:type="dxa"/>
          </w:tcPr>
          <w:p w14:paraId="688ACE45" w14:textId="638D319C" w:rsidR="00CC7D20" w:rsidRDefault="002F21AA" w:rsidP="008E177D">
            <w:pPr>
              <w:spacing w:before="120" w:after="120"/>
            </w:pPr>
            <w:r>
              <w:t xml:space="preserve">All supplies are currently kept in the old ER space. Area cluttered and overstocked. Difficult in finding supplies needed in acute situations. </w:t>
            </w:r>
            <w:r w:rsidR="00274125">
              <w:t xml:space="preserve"> </w:t>
            </w:r>
          </w:p>
          <w:p w14:paraId="476546BA" w14:textId="13A0A106" w:rsidR="008548A9" w:rsidRDefault="008548A9" w:rsidP="008E177D">
            <w:pPr>
              <w:spacing w:before="120" w:after="120"/>
            </w:pPr>
            <w:r w:rsidRPr="00274125">
              <w:rPr>
                <w:b/>
                <w:color w:val="C0504D" w:themeColor="accent2"/>
              </w:rPr>
              <w:t>+ Restock, Waste, and times running out of stock data for the last 90 days.</w:t>
            </w:r>
          </w:p>
          <w:p w14:paraId="12AAD993" w14:textId="10A3668A" w:rsidR="00274125" w:rsidRPr="00274125" w:rsidRDefault="00274125" w:rsidP="008E177D">
            <w:pPr>
              <w:spacing w:before="120" w:after="120"/>
              <w:rPr>
                <w:i/>
                <w:color w:val="5F497A" w:themeColor="accent4" w:themeShade="BF"/>
              </w:rPr>
            </w:pPr>
            <w:r w:rsidRPr="00274125">
              <w:rPr>
                <w:i/>
                <w:color w:val="5F497A" w:themeColor="accent4" w:themeShade="BF"/>
              </w:rPr>
              <w:t>Dr. McCrory suggested to think ahead on what rolling stock may look like.</w:t>
            </w:r>
          </w:p>
          <w:p w14:paraId="3D7884F7" w14:textId="0080B7D6" w:rsidR="00274125" w:rsidRPr="00274125" w:rsidRDefault="00274125" w:rsidP="008E177D">
            <w:pPr>
              <w:spacing w:before="120" w:after="120"/>
              <w:rPr>
                <w:i/>
                <w:color w:val="5F497A" w:themeColor="accent4" w:themeShade="BF"/>
              </w:rPr>
            </w:pPr>
            <w:r w:rsidRPr="00274125">
              <w:rPr>
                <w:i/>
                <w:color w:val="5F497A" w:themeColor="accent4" w:themeShade="BF"/>
              </w:rPr>
              <w:t>100 ED visits per month – approx. 4 per day.</w:t>
            </w:r>
          </w:p>
          <w:p w14:paraId="5C336B85" w14:textId="5C05A14F" w:rsidR="00274125" w:rsidRDefault="00274125" w:rsidP="008E177D">
            <w:pPr>
              <w:spacing w:before="120" w:after="120"/>
            </w:pPr>
            <w:r w:rsidRPr="00274125">
              <w:rPr>
                <w:i/>
                <w:color w:val="5F497A" w:themeColor="accent4" w:themeShade="BF"/>
              </w:rPr>
              <w:t>Students can work with Shienne to get historical par levels.</w:t>
            </w:r>
          </w:p>
        </w:tc>
      </w:tr>
      <w:tr w:rsidR="00CC7D20" w14:paraId="67C94C07" w14:textId="77777777" w:rsidTr="2B960A13">
        <w:tc>
          <w:tcPr>
            <w:tcW w:w="1908" w:type="dxa"/>
          </w:tcPr>
          <w:p w14:paraId="038AD563" w14:textId="77777777" w:rsidR="00CC7D20" w:rsidRPr="00EB7D94" w:rsidRDefault="00CC7D20" w:rsidP="00572E4A">
            <w:pPr>
              <w:spacing w:before="120" w:after="120"/>
              <w:rPr>
                <w:b/>
                <w:color w:val="1F497D" w:themeColor="text2"/>
              </w:rPr>
            </w:pPr>
            <w:r>
              <w:rPr>
                <w:b/>
                <w:color w:val="1F497D" w:themeColor="text2"/>
              </w:rPr>
              <w:t>Participants</w:t>
            </w:r>
          </w:p>
        </w:tc>
        <w:tc>
          <w:tcPr>
            <w:tcW w:w="7295" w:type="dxa"/>
          </w:tcPr>
          <w:p w14:paraId="0028F05D" w14:textId="77777777" w:rsidR="00CC7D20" w:rsidRPr="00CC7D20" w:rsidRDefault="00CC7D20" w:rsidP="00572E4A">
            <w:pPr>
              <w:rPr>
                <w:i/>
              </w:rPr>
            </w:pPr>
            <w:r w:rsidRPr="00CC7D20">
              <w:rPr>
                <w:i/>
              </w:rPr>
              <w:t>Person(s) participating in the event</w:t>
            </w:r>
          </w:p>
          <w:tbl>
            <w:tblPr>
              <w:tblStyle w:val="LightList-Accent2"/>
              <w:tblW w:w="0" w:type="auto"/>
              <w:tblLook w:val="04A0" w:firstRow="1" w:lastRow="0" w:firstColumn="1" w:lastColumn="0" w:noHBand="0" w:noVBand="1"/>
            </w:tblPr>
            <w:tblGrid>
              <w:gridCol w:w="2293"/>
              <w:gridCol w:w="2021"/>
              <w:gridCol w:w="2700"/>
            </w:tblGrid>
            <w:tr w:rsidR="00CC7D20" w14:paraId="64798945" w14:textId="77777777" w:rsidTr="0057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D99D882" w14:textId="77777777" w:rsidR="00CC7D20" w:rsidRDefault="00CC7D20" w:rsidP="00572E4A">
                  <w:r>
                    <w:t>Name</w:t>
                  </w:r>
                </w:p>
              </w:tc>
              <w:tc>
                <w:tcPr>
                  <w:tcW w:w="1819" w:type="dxa"/>
                </w:tcPr>
                <w:p w14:paraId="5213B9F6" w14:textId="77777777" w:rsidR="00CC7D20" w:rsidRDefault="00CC7D20" w:rsidP="00572E4A">
                  <w:pPr>
                    <w:cnfStyle w:val="100000000000" w:firstRow="1" w:lastRow="0" w:firstColumn="0" w:lastColumn="0" w:oddVBand="0" w:evenVBand="0" w:oddHBand="0" w:evenHBand="0" w:firstRowFirstColumn="0" w:firstRowLastColumn="0" w:lastRowFirstColumn="0" w:lastRowLastColumn="0"/>
                  </w:pPr>
                  <w:r>
                    <w:t>Department</w:t>
                  </w:r>
                </w:p>
              </w:tc>
              <w:tc>
                <w:tcPr>
                  <w:tcW w:w="2700" w:type="dxa"/>
                </w:tcPr>
                <w:p w14:paraId="59D1E636" w14:textId="77777777" w:rsidR="00CC7D20" w:rsidRDefault="00CC7D20" w:rsidP="00572E4A">
                  <w:pPr>
                    <w:cnfStyle w:val="100000000000" w:firstRow="1" w:lastRow="0" w:firstColumn="0" w:lastColumn="0" w:oddVBand="0" w:evenVBand="0" w:oddHBand="0" w:evenHBand="0" w:firstRowFirstColumn="0" w:firstRowLastColumn="0" w:lastRowFirstColumn="0" w:lastRowLastColumn="0"/>
                  </w:pPr>
                  <w:r>
                    <w:t>Availability during event?</w:t>
                  </w:r>
                </w:p>
              </w:tc>
            </w:tr>
            <w:tr w:rsidR="00CC7D20" w14:paraId="0F3BA58F" w14:textId="77777777" w:rsidTr="0057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5940C3C" w14:textId="224B6C7B" w:rsidR="00CC7D20" w:rsidRDefault="002F21AA" w:rsidP="00572E4A">
                  <w:r>
                    <w:t>April Baker</w:t>
                  </w:r>
                </w:p>
              </w:tc>
              <w:tc>
                <w:tcPr>
                  <w:tcW w:w="1819" w:type="dxa"/>
                </w:tcPr>
                <w:p w14:paraId="3BA6306A" w14:textId="76F2A5F5" w:rsidR="00CC7D20" w:rsidRDefault="002F21AA" w:rsidP="00572E4A">
                  <w:pPr>
                    <w:cnfStyle w:val="000000100000" w:firstRow="0" w:lastRow="0" w:firstColumn="0" w:lastColumn="0" w:oddVBand="0" w:evenVBand="0" w:oddHBand="1" w:evenHBand="0" w:firstRowFirstColumn="0" w:firstRowLastColumn="0" w:lastRowFirstColumn="0" w:lastRowLastColumn="0"/>
                  </w:pPr>
                  <w:r>
                    <w:t>Acute/ER</w:t>
                  </w:r>
                </w:p>
              </w:tc>
              <w:tc>
                <w:tcPr>
                  <w:tcW w:w="2700" w:type="dxa"/>
                </w:tcPr>
                <w:p w14:paraId="719C2B72" w14:textId="56EC8CBC" w:rsidR="00CC7D20" w:rsidRDefault="002F21AA" w:rsidP="00500663">
                  <w:pPr>
                    <w:jc w:val="center"/>
                    <w:cnfStyle w:val="000000100000" w:firstRow="0" w:lastRow="0" w:firstColumn="0" w:lastColumn="0" w:oddVBand="0" w:evenVBand="0" w:oddHBand="1" w:evenHBand="0" w:firstRowFirstColumn="0" w:firstRowLastColumn="0" w:lastRowFirstColumn="0" w:lastRowLastColumn="0"/>
                  </w:pPr>
                  <w:r>
                    <w:t>Yes</w:t>
                  </w:r>
                </w:p>
              </w:tc>
            </w:tr>
            <w:tr w:rsidR="00CC7D20" w14:paraId="1AD39CAC" w14:textId="77777777" w:rsidTr="00572E4A">
              <w:tc>
                <w:tcPr>
                  <w:cnfStyle w:val="001000000000" w:firstRow="0" w:lastRow="0" w:firstColumn="1" w:lastColumn="0" w:oddVBand="0" w:evenVBand="0" w:oddHBand="0" w:evenHBand="0" w:firstRowFirstColumn="0" w:firstRowLastColumn="0" w:lastRowFirstColumn="0" w:lastRowLastColumn="0"/>
                  <w:tcW w:w="2293" w:type="dxa"/>
                </w:tcPr>
                <w:p w14:paraId="7E4B1D36" w14:textId="21906288" w:rsidR="00CC7D20" w:rsidRDefault="002F21AA" w:rsidP="00572E4A">
                  <w:r>
                    <w:t xml:space="preserve">Nursing </w:t>
                  </w:r>
                  <w:r w:rsidR="00A86B4A">
                    <w:t>Staff</w:t>
                  </w:r>
                </w:p>
              </w:tc>
              <w:tc>
                <w:tcPr>
                  <w:tcW w:w="1819" w:type="dxa"/>
                </w:tcPr>
                <w:p w14:paraId="22AC9EA6" w14:textId="1031F4FB" w:rsidR="00CC7D20" w:rsidRDefault="00A86B4A" w:rsidP="00572E4A">
                  <w:pPr>
                    <w:cnfStyle w:val="000000000000" w:firstRow="0" w:lastRow="0" w:firstColumn="0" w:lastColumn="0" w:oddVBand="0" w:evenVBand="0" w:oddHBand="0" w:evenHBand="0" w:firstRowFirstColumn="0" w:firstRowLastColumn="0" w:lastRowFirstColumn="0" w:lastRowLastColumn="0"/>
                  </w:pPr>
                  <w:r>
                    <w:t>Acute/ER</w:t>
                  </w:r>
                </w:p>
              </w:tc>
              <w:tc>
                <w:tcPr>
                  <w:tcW w:w="2700" w:type="dxa"/>
                </w:tcPr>
                <w:p w14:paraId="534F0DDC" w14:textId="455E0C00" w:rsidR="00CC7D20" w:rsidRDefault="002F21AA" w:rsidP="00500663">
                  <w:pPr>
                    <w:jc w:val="center"/>
                    <w:cnfStyle w:val="000000000000" w:firstRow="0" w:lastRow="0" w:firstColumn="0" w:lastColumn="0" w:oddVBand="0" w:evenVBand="0" w:oddHBand="0" w:evenHBand="0" w:firstRowFirstColumn="0" w:firstRowLastColumn="0" w:lastRowFirstColumn="0" w:lastRowLastColumn="0"/>
                  </w:pPr>
                  <w:r>
                    <w:t>Yes</w:t>
                  </w:r>
                </w:p>
              </w:tc>
            </w:tr>
            <w:tr w:rsidR="00CC7D20" w14:paraId="55E61E16" w14:textId="77777777" w:rsidTr="0057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32E2D9A" w14:textId="410AC57E" w:rsidR="00CC7D20" w:rsidRDefault="002F21AA" w:rsidP="00572E4A">
                  <w:r>
                    <w:t>Shienne</w:t>
                  </w:r>
                </w:p>
              </w:tc>
              <w:tc>
                <w:tcPr>
                  <w:tcW w:w="1819" w:type="dxa"/>
                </w:tcPr>
                <w:p w14:paraId="5D9852D9" w14:textId="20F4A1F3" w:rsidR="00CC7D20" w:rsidRDefault="002F21AA" w:rsidP="00572E4A">
                  <w:pPr>
                    <w:cnfStyle w:val="000000100000" w:firstRow="0" w:lastRow="0" w:firstColumn="0" w:lastColumn="0" w:oddVBand="0" w:evenVBand="0" w:oddHBand="1" w:evenHBand="0" w:firstRowFirstColumn="0" w:firstRowLastColumn="0" w:lastRowFirstColumn="0" w:lastRowLastColumn="0"/>
                  </w:pPr>
                  <w:r>
                    <w:t>Purchasing/Supplies</w:t>
                  </w:r>
                </w:p>
              </w:tc>
              <w:tc>
                <w:tcPr>
                  <w:tcW w:w="2700" w:type="dxa"/>
                </w:tcPr>
                <w:p w14:paraId="37AF29DF" w14:textId="1FEEF94A" w:rsidR="00CC7D20" w:rsidRPr="00570E41" w:rsidRDefault="00570E41" w:rsidP="00500663">
                  <w:pPr>
                    <w:jc w:val="center"/>
                    <w:cnfStyle w:val="000000100000" w:firstRow="0" w:lastRow="0" w:firstColumn="0" w:lastColumn="0" w:oddVBand="0" w:evenVBand="0" w:oddHBand="1" w:evenHBand="0" w:firstRowFirstColumn="0" w:firstRowLastColumn="0" w:lastRowFirstColumn="0" w:lastRowLastColumn="0"/>
                    <w:rPr>
                      <w:b/>
                    </w:rPr>
                  </w:pPr>
                  <w:r w:rsidRPr="00570E41">
                    <w:rPr>
                      <w:b/>
                      <w:color w:val="C0504D" w:themeColor="accent2"/>
                    </w:rPr>
                    <w:t>Might be out – Jenny will f/u and confirm.</w:t>
                  </w:r>
                </w:p>
              </w:tc>
            </w:tr>
            <w:tr w:rsidR="00CC7D20" w14:paraId="63AF1ABD" w14:textId="77777777" w:rsidTr="00572E4A">
              <w:tc>
                <w:tcPr>
                  <w:cnfStyle w:val="001000000000" w:firstRow="0" w:lastRow="0" w:firstColumn="1" w:lastColumn="0" w:oddVBand="0" w:evenVBand="0" w:oddHBand="0" w:evenHBand="0" w:firstRowFirstColumn="0" w:firstRowLastColumn="0" w:lastRowFirstColumn="0" w:lastRowLastColumn="0"/>
                  <w:tcW w:w="2293" w:type="dxa"/>
                </w:tcPr>
                <w:p w14:paraId="781D162B" w14:textId="3672B5B5" w:rsidR="00CC7D20" w:rsidRDefault="00BA50ED" w:rsidP="00572E4A">
                  <w:r>
                    <w:t xml:space="preserve">Provider Staff </w:t>
                  </w:r>
                </w:p>
              </w:tc>
              <w:tc>
                <w:tcPr>
                  <w:tcW w:w="1819" w:type="dxa"/>
                </w:tcPr>
                <w:p w14:paraId="0EE86A35" w14:textId="5F33EEB6" w:rsidR="00CC7D20" w:rsidRDefault="00BA50ED" w:rsidP="00572E4A">
                  <w:pPr>
                    <w:cnfStyle w:val="000000000000" w:firstRow="0" w:lastRow="0" w:firstColumn="0" w:lastColumn="0" w:oddVBand="0" w:evenVBand="0" w:oddHBand="0" w:evenHBand="0" w:firstRowFirstColumn="0" w:firstRowLastColumn="0" w:lastRowFirstColumn="0" w:lastRowLastColumn="0"/>
                  </w:pPr>
                  <w:r>
                    <w:t>ER</w:t>
                  </w:r>
                </w:p>
              </w:tc>
              <w:tc>
                <w:tcPr>
                  <w:tcW w:w="2700" w:type="dxa"/>
                </w:tcPr>
                <w:p w14:paraId="053F2D07" w14:textId="1F77C395" w:rsidR="00CC7D20" w:rsidRDefault="00BA50ED" w:rsidP="00500663">
                  <w:pPr>
                    <w:jc w:val="center"/>
                    <w:cnfStyle w:val="000000000000" w:firstRow="0" w:lastRow="0" w:firstColumn="0" w:lastColumn="0" w:oddVBand="0" w:evenVBand="0" w:oddHBand="0" w:evenHBand="0" w:firstRowFirstColumn="0" w:firstRowLastColumn="0" w:lastRowFirstColumn="0" w:lastRowLastColumn="0"/>
                  </w:pPr>
                  <w:r>
                    <w:t>Yes</w:t>
                  </w:r>
                </w:p>
              </w:tc>
            </w:tr>
            <w:tr w:rsidR="00500663" w14:paraId="28EC1845" w14:textId="77777777" w:rsidTr="0057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FA1C383" w14:textId="77777777" w:rsidR="00500663" w:rsidRDefault="00500663" w:rsidP="00572E4A"/>
              </w:tc>
              <w:tc>
                <w:tcPr>
                  <w:tcW w:w="1819" w:type="dxa"/>
                </w:tcPr>
                <w:p w14:paraId="0BD6664A" w14:textId="77777777" w:rsidR="00500663" w:rsidRDefault="00500663" w:rsidP="00572E4A">
                  <w:pPr>
                    <w:cnfStyle w:val="000000100000" w:firstRow="0" w:lastRow="0" w:firstColumn="0" w:lastColumn="0" w:oddVBand="0" w:evenVBand="0" w:oddHBand="1" w:evenHBand="0" w:firstRowFirstColumn="0" w:firstRowLastColumn="0" w:lastRowFirstColumn="0" w:lastRowLastColumn="0"/>
                  </w:pPr>
                </w:p>
              </w:tc>
              <w:tc>
                <w:tcPr>
                  <w:tcW w:w="2700" w:type="dxa"/>
                </w:tcPr>
                <w:p w14:paraId="3B1ED55D" w14:textId="77777777" w:rsidR="00500663" w:rsidRDefault="00500663" w:rsidP="00500663">
                  <w:pPr>
                    <w:jc w:val="center"/>
                    <w:cnfStyle w:val="000000100000" w:firstRow="0" w:lastRow="0" w:firstColumn="0" w:lastColumn="0" w:oddVBand="0" w:evenVBand="0" w:oddHBand="1" w:evenHBand="0" w:firstRowFirstColumn="0" w:firstRowLastColumn="0" w:lastRowFirstColumn="0" w:lastRowLastColumn="0"/>
                  </w:pPr>
                </w:p>
              </w:tc>
            </w:tr>
            <w:tr w:rsidR="00500663" w14:paraId="5A5B5DEB" w14:textId="77777777" w:rsidTr="00572E4A">
              <w:tc>
                <w:tcPr>
                  <w:cnfStyle w:val="001000000000" w:firstRow="0" w:lastRow="0" w:firstColumn="1" w:lastColumn="0" w:oddVBand="0" w:evenVBand="0" w:oddHBand="0" w:evenHBand="0" w:firstRowFirstColumn="0" w:firstRowLastColumn="0" w:lastRowFirstColumn="0" w:lastRowLastColumn="0"/>
                  <w:tcW w:w="2293" w:type="dxa"/>
                </w:tcPr>
                <w:p w14:paraId="046BCD7C" w14:textId="77777777" w:rsidR="00500663" w:rsidRDefault="00500663" w:rsidP="00572E4A"/>
              </w:tc>
              <w:tc>
                <w:tcPr>
                  <w:tcW w:w="1819" w:type="dxa"/>
                </w:tcPr>
                <w:p w14:paraId="36B6CD4A" w14:textId="77777777" w:rsidR="00500663" w:rsidRDefault="00500663" w:rsidP="00572E4A">
                  <w:pPr>
                    <w:cnfStyle w:val="000000000000" w:firstRow="0" w:lastRow="0" w:firstColumn="0" w:lastColumn="0" w:oddVBand="0" w:evenVBand="0" w:oddHBand="0" w:evenHBand="0" w:firstRowFirstColumn="0" w:firstRowLastColumn="0" w:lastRowFirstColumn="0" w:lastRowLastColumn="0"/>
                  </w:pPr>
                </w:p>
              </w:tc>
              <w:tc>
                <w:tcPr>
                  <w:tcW w:w="2700" w:type="dxa"/>
                </w:tcPr>
                <w:p w14:paraId="1DEE4F0D" w14:textId="77777777" w:rsidR="00500663" w:rsidRDefault="00500663" w:rsidP="00500663">
                  <w:pPr>
                    <w:jc w:val="center"/>
                    <w:cnfStyle w:val="000000000000" w:firstRow="0" w:lastRow="0" w:firstColumn="0" w:lastColumn="0" w:oddVBand="0" w:evenVBand="0" w:oddHBand="0" w:evenHBand="0" w:firstRowFirstColumn="0" w:firstRowLastColumn="0" w:lastRowFirstColumn="0" w:lastRowLastColumn="0"/>
                  </w:pPr>
                </w:p>
              </w:tc>
            </w:tr>
          </w:tbl>
          <w:p w14:paraId="7E2EE30C" w14:textId="77777777" w:rsidR="00CC7D20" w:rsidRDefault="00CC7D20" w:rsidP="00572E4A"/>
        </w:tc>
      </w:tr>
    </w:tbl>
    <w:p w14:paraId="11AE6B0D" w14:textId="6D811C00" w:rsidR="2B960A13" w:rsidRDefault="2B960A13" w:rsidP="2B960A13"/>
    <w:p w14:paraId="4F40A695" w14:textId="77777777" w:rsidR="00866A61" w:rsidRPr="00866A61" w:rsidRDefault="00866A61">
      <w:pPr>
        <w:rPr>
          <w:b/>
        </w:rPr>
      </w:pPr>
      <w:r w:rsidRPr="00866A61">
        <w:rPr>
          <w:b/>
        </w:rPr>
        <w:t>Logistics</w:t>
      </w:r>
    </w:p>
    <w:p w14:paraId="54641E26" w14:textId="77777777" w:rsidR="00570E41" w:rsidRDefault="004132CD" w:rsidP="00894CF6">
      <w:pPr>
        <w:pStyle w:val="ListParagraph"/>
        <w:numPr>
          <w:ilvl w:val="0"/>
          <w:numId w:val="1"/>
        </w:numPr>
        <w:rPr>
          <w:i/>
        </w:rPr>
      </w:pPr>
      <w:r>
        <w:rPr>
          <w:i/>
        </w:rPr>
        <w:t>What is the student housing arrangements?   Does the student need to bring any supplies such as their own bedding?</w:t>
      </w:r>
      <w:r>
        <w:rPr>
          <w:i/>
        </w:rPr>
        <w:br/>
      </w:r>
      <w:r w:rsidR="00BA50ED">
        <w:rPr>
          <w:i/>
        </w:rPr>
        <w:t>R</w:t>
      </w:r>
      <w:r w:rsidR="00917429">
        <w:rPr>
          <w:i/>
        </w:rPr>
        <w:t>oom available in upstairs hospital/clinic</w:t>
      </w:r>
      <w:r w:rsidR="00894CF6">
        <w:rPr>
          <w:i/>
        </w:rPr>
        <w:t xml:space="preserve"> and room available in rental on Walnut St. </w:t>
      </w:r>
    </w:p>
    <w:p w14:paraId="7E437452" w14:textId="4701181F" w:rsidR="00866A61" w:rsidRPr="00894CF6" w:rsidRDefault="00570E41" w:rsidP="00570E41">
      <w:pPr>
        <w:pStyle w:val="ListParagraph"/>
        <w:ind w:left="360"/>
        <w:rPr>
          <w:i/>
        </w:rPr>
      </w:pPr>
      <w:r w:rsidRPr="00570E41">
        <w:rPr>
          <w:i/>
          <w:color w:val="C0504D" w:themeColor="accent2"/>
        </w:rPr>
        <w:t xml:space="preserve">Jenny will confirm and finalize. </w:t>
      </w:r>
      <w:r w:rsidR="004132CD" w:rsidRPr="00894CF6">
        <w:rPr>
          <w:i/>
        </w:rPr>
        <w:br/>
      </w:r>
    </w:p>
    <w:p w14:paraId="7CD277F4" w14:textId="6BFEDCFF" w:rsidR="004132CD" w:rsidRPr="004132CD" w:rsidRDefault="004132CD" w:rsidP="004132CD">
      <w:pPr>
        <w:pStyle w:val="ListParagraph"/>
        <w:numPr>
          <w:ilvl w:val="0"/>
          <w:numId w:val="1"/>
        </w:numPr>
        <w:rPr>
          <w:i/>
        </w:rPr>
      </w:pPr>
      <w:r>
        <w:rPr>
          <w:i/>
        </w:rPr>
        <w:t xml:space="preserve">What is the meal arrangements?  </w:t>
      </w:r>
      <w:r>
        <w:rPr>
          <w:i/>
        </w:rPr>
        <w:br/>
      </w:r>
      <w:r w:rsidR="00894CF6">
        <w:rPr>
          <w:i/>
        </w:rPr>
        <w:t>All</w:t>
      </w:r>
      <w:r w:rsidR="00570E41">
        <w:rPr>
          <w:i/>
        </w:rPr>
        <w:t xml:space="preserve"> 3</w:t>
      </w:r>
      <w:r w:rsidR="00894CF6">
        <w:rPr>
          <w:i/>
        </w:rPr>
        <w:t xml:space="preserve"> meals in cafeteria</w:t>
      </w:r>
      <w:r w:rsidR="00570E41">
        <w:rPr>
          <w:i/>
        </w:rPr>
        <w:t xml:space="preserve"> – Sign up sheet available- </w:t>
      </w:r>
      <w:r>
        <w:rPr>
          <w:i/>
        </w:rPr>
        <w:br/>
      </w:r>
    </w:p>
    <w:p w14:paraId="18FE5698" w14:textId="5005F7E3" w:rsidR="00570E41" w:rsidRPr="00570E41" w:rsidRDefault="00866A61" w:rsidP="00232D5D">
      <w:pPr>
        <w:pStyle w:val="ListParagraph"/>
        <w:numPr>
          <w:ilvl w:val="0"/>
          <w:numId w:val="1"/>
        </w:numPr>
        <w:rPr>
          <w:i/>
        </w:rPr>
      </w:pPr>
      <w:r w:rsidRPr="00627AD6">
        <w:rPr>
          <w:i/>
        </w:rPr>
        <w:t>Who will be the student’s main point of contact</w:t>
      </w:r>
      <w:r w:rsidR="004132CD">
        <w:rPr>
          <w:i/>
        </w:rPr>
        <w:t xml:space="preserve"> – someone they can contact Sunday</w:t>
      </w:r>
      <w:r w:rsidR="00570E41">
        <w:rPr>
          <w:i/>
        </w:rPr>
        <w:t xml:space="preserve"> afternoon</w:t>
      </w:r>
      <w:r w:rsidR="004132CD">
        <w:rPr>
          <w:i/>
        </w:rPr>
        <w:t xml:space="preserve"> when they arrive</w:t>
      </w:r>
      <w:r w:rsidRPr="00627AD6">
        <w:rPr>
          <w:i/>
        </w:rPr>
        <w:t>?  Name and phone #.</w:t>
      </w:r>
      <w:r w:rsidR="004132CD">
        <w:rPr>
          <w:i/>
        </w:rPr>
        <w:br/>
      </w:r>
      <w:r w:rsidR="00570E41">
        <w:rPr>
          <w:b/>
          <w:i/>
        </w:rPr>
        <w:t xml:space="preserve">Call or text </w:t>
      </w:r>
      <w:r w:rsidR="00894CF6" w:rsidRPr="00570E41">
        <w:rPr>
          <w:b/>
          <w:i/>
        </w:rPr>
        <w:t xml:space="preserve">Jenny Clowes </w:t>
      </w:r>
      <w:r w:rsidR="00232D5D" w:rsidRPr="00570E41">
        <w:rPr>
          <w:b/>
          <w:i/>
        </w:rPr>
        <w:t xml:space="preserve">406-580-1983 </w:t>
      </w:r>
    </w:p>
    <w:p w14:paraId="3150C9BF" w14:textId="381C060A" w:rsidR="00866A61" w:rsidRPr="00232D5D" w:rsidRDefault="00570E41" w:rsidP="00570E41">
      <w:pPr>
        <w:pStyle w:val="ListParagraph"/>
        <w:ind w:left="360"/>
        <w:rPr>
          <w:i/>
        </w:rPr>
      </w:pPr>
      <w:r>
        <w:rPr>
          <w:i/>
        </w:rPr>
        <w:t xml:space="preserve">If Jenny is unavailable then call/text </w:t>
      </w:r>
      <w:r w:rsidR="00232D5D">
        <w:rPr>
          <w:i/>
        </w:rPr>
        <w:t>April Baker 406-200-5149</w:t>
      </w:r>
      <w:r w:rsidR="004132CD" w:rsidRPr="00232D5D">
        <w:rPr>
          <w:i/>
        </w:rPr>
        <w:br/>
      </w:r>
    </w:p>
    <w:p w14:paraId="035872D7" w14:textId="1003AD50" w:rsidR="004132CD" w:rsidRPr="000E3312" w:rsidRDefault="00866A61" w:rsidP="000E3312">
      <w:pPr>
        <w:pStyle w:val="ListParagraph"/>
        <w:numPr>
          <w:ilvl w:val="0"/>
          <w:numId w:val="1"/>
        </w:numPr>
        <w:rPr>
          <w:i/>
        </w:rPr>
      </w:pPr>
      <w:r w:rsidRPr="004132CD">
        <w:rPr>
          <w:i/>
        </w:rPr>
        <w:lastRenderedPageBreak/>
        <w:t xml:space="preserve">Student(s) will be arriving </w:t>
      </w:r>
      <w:r w:rsidR="004132CD">
        <w:rPr>
          <w:i/>
        </w:rPr>
        <w:t>in town on</w:t>
      </w:r>
      <w:r w:rsidRPr="004132CD">
        <w:rPr>
          <w:i/>
        </w:rPr>
        <w:t xml:space="preserve"> </w:t>
      </w:r>
      <w:r w:rsidR="00E666E3" w:rsidRPr="004132CD">
        <w:rPr>
          <w:i/>
        </w:rPr>
        <w:t>Sunday</w:t>
      </w:r>
      <w:r w:rsidR="004132CD">
        <w:rPr>
          <w:i/>
        </w:rPr>
        <w:t>.   What time should they arrive to the facility on Monday morning and who should they see upon arrival?</w:t>
      </w:r>
      <w:r w:rsidR="000E3312">
        <w:rPr>
          <w:i/>
        </w:rPr>
        <w:t xml:space="preserve"> </w:t>
      </w:r>
      <w:r w:rsidR="00570E41">
        <w:rPr>
          <w:i/>
        </w:rPr>
        <w:br/>
      </w:r>
      <w:r w:rsidR="000E3312">
        <w:rPr>
          <w:i/>
        </w:rPr>
        <w:t>0900, April Baker</w:t>
      </w:r>
      <w:r w:rsidR="004132CD" w:rsidRPr="000E3312">
        <w:rPr>
          <w:i/>
        </w:rPr>
        <w:br/>
      </w:r>
      <w:r w:rsidR="004132CD" w:rsidRPr="000E3312">
        <w:rPr>
          <w:i/>
        </w:rPr>
        <w:br/>
      </w:r>
    </w:p>
    <w:p w14:paraId="733A5C66" w14:textId="4455910F" w:rsidR="00866A61" w:rsidRPr="00A90AA4" w:rsidRDefault="00866A61" w:rsidP="004132CD">
      <w:pPr>
        <w:pStyle w:val="ListParagraph"/>
        <w:numPr>
          <w:ilvl w:val="0"/>
          <w:numId w:val="1"/>
        </w:numPr>
        <w:rPr>
          <w:i/>
        </w:rPr>
      </w:pPr>
      <w:r w:rsidRPr="00A90AA4">
        <w:rPr>
          <w:i/>
        </w:rPr>
        <w:t xml:space="preserve">Has </w:t>
      </w:r>
      <w:r w:rsidR="004132CD">
        <w:rPr>
          <w:i/>
        </w:rPr>
        <w:t xml:space="preserve">a </w:t>
      </w:r>
      <w:r>
        <w:rPr>
          <w:i/>
        </w:rPr>
        <w:t>workstation or desk</w:t>
      </w:r>
      <w:r w:rsidRPr="00A90AA4">
        <w:rPr>
          <w:i/>
        </w:rPr>
        <w:t xml:space="preserve"> been arranged for the student</w:t>
      </w:r>
      <w:r>
        <w:rPr>
          <w:i/>
        </w:rPr>
        <w:t xml:space="preserve"> use during the two weeks</w:t>
      </w:r>
      <w:r w:rsidRPr="00A90AA4">
        <w:rPr>
          <w:i/>
        </w:rPr>
        <w:t>?</w:t>
      </w:r>
      <w:r>
        <w:rPr>
          <w:i/>
        </w:rPr>
        <w:t xml:space="preserve">  Internet access?</w:t>
      </w:r>
      <w:r w:rsidR="004132CD">
        <w:rPr>
          <w:i/>
        </w:rPr>
        <w:br/>
      </w:r>
      <w:r w:rsidR="00FF7C4D">
        <w:rPr>
          <w:i/>
        </w:rPr>
        <w:t>Upstairs education center</w:t>
      </w:r>
      <w:r w:rsidR="004132CD">
        <w:rPr>
          <w:i/>
        </w:rPr>
        <w:br/>
      </w:r>
    </w:p>
    <w:p w14:paraId="20F79B09" w14:textId="77777777" w:rsidR="004132CD" w:rsidRDefault="004132CD" w:rsidP="004132CD">
      <w:pPr>
        <w:pStyle w:val="ListParagraph"/>
        <w:numPr>
          <w:ilvl w:val="0"/>
          <w:numId w:val="1"/>
        </w:numPr>
        <w:rPr>
          <w:i/>
        </w:rPr>
      </w:pPr>
      <w:r>
        <w:rPr>
          <w:i/>
        </w:rPr>
        <w:t>What forms or requirements from the facility?</w:t>
      </w:r>
    </w:p>
    <w:p w14:paraId="560363FD" w14:textId="77777777" w:rsidR="004132CD" w:rsidRDefault="004132CD" w:rsidP="004132CD">
      <w:pPr>
        <w:pStyle w:val="ListParagraph"/>
        <w:numPr>
          <w:ilvl w:val="1"/>
          <w:numId w:val="1"/>
        </w:numPr>
        <w:rPr>
          <w:i/>
        </w:rPr>
      </w:pPr>
      <w:r>
        <w:rPr>
          <w:i/>
        </w:rPr>
        <w:t xml:space="preserve"> immunization/testing is required and what documentation?  </w:t>
      </w:r>
    </w:p>
    <w:p w14:paraId="5B1FB1D5" w14:textId="77777777" w:rsidR="004132CD" w:rsidRDefault="00866A61" w:rsidP="004132CD">
      <w:pPr>
        <w:pStyle w:val="ListParagraph"/>
        <w:numPr>
          <w:ilvl w:val="1"/>
          <w:numId w:val="1"/>
        </w:numPr>
        <w:rPr>
          <w:i/>
        </w:rPr>
      </w:pPr>
      <w:r w:rsidRPr="004132CD">
        <w:rPr>
          <w:i/>
        </w:rPr>
        <w:t>HIPAA?</w:t>
      </w:r>
      <w:r w:rsidR="00FE474A" w:rsidRPr="004132CD">
        <w:rPr>
          <w:i/>
        </w:rPr>
        <w:t xml:space="preserve"> </w:t>
      </w:r>
    </w:p>
    <w:p w14:paraId="2680F749" w14:textId="72BFFBEE" w:rsidR="0006666C" w:rsidRPr="00570E41" w:rsidRDefault="00FE474A" w:rsidP="0006666C">
      <w:pPr>
        <w:shd w:val="clear" w:color="auto" w:fill="FFFFFF"/>
        <w:rPr>
          <w:rFonts w:eastAsia="Times New Roman"/>
          <w:color w:val="5F497A" w:themeColor="accent4" w:themeShade="BF"/>
        </w:rPr>
      </w:pPr>
      <w:r w:rsidRPr="004132CD">
        <w:rPr>
          <w:i/>
        </w:rPr>
        <w:t>Any other forms from facility?</w:t>
      </w:r>
      <w:r w:rsidR="0006666C" w:rsidRPr="0006666C">
        <w:rPr>
          <w:rFonts w:eastAsia="Times New Roman"/>
          <w:color w:val="212121"/>
        </w:rPr>
        <w:t xml:space="preserve"> </w:t>
      </w:r>
      <w:r w:rsidR="00570E41">
        <w:rPr>
          <w:rFonts w:eastAsia="Times New Roman"/>
          <w:color w:val="5F497A" w:themeColor="accent4" w:themeShade="BF"/>
        </w:rPr>
        <w:t xml:space="preserve">We can work to get this done prior to arrival.  </w:t>
      </w:r>
      <w:r w:rsidR="00570E41" w:rsidRPr="00570E41">
        <w:rPr>
          <w:rFonts w:eastAsia="Times New Roman"/>
          <w:color w:val="C0504D" w:themeColor="accent2"/>
        </w:rPr>
        <w:t>Jenny will let us know what works best to get that back to Broadwater.</w:t>
      </w:r>
      <w:bookmarkStart w:id="0" w:name="_GoBack"/>
      <w:bookmarkEnd w:id="0"/>
    </w:p>
    <w:p w14:paraId="530911B9" w14:textId="6D746CDB" w:rsidR="0006666C" w:rsidRDefault="0006666C" w:rsidP="0006666C">
      <w:pPr>
        <w:shd w:val="clear" w:color="auto" w:fill="FFFFFF"/>
        <w:rPr>
          <w:rFonts w:eastAsia="Times New Roman"/>
          <w:color w:val="212121"/>
        </w:rPr>
      </w:pPr>
      <w:r>
        <w:rPr>
          <w:rFonts w:eastAsia="Times New Roman"/>
          <w:color w:val="212121"/>
        </w:rPr>
        <w:t>a) a copy of your CDC COVID-19 Vaccination Record Card (or a legible photo of the card); </w:t>
      </w:r>
    </w:p>
    <w:p w14:paraId="1DF9D3C1" w14:textId="77777777" w:rsidR="0006666C" w:rsidRDefault="0006666C" w:rsidP="0006666C">
      <w:pPr>
        <w:shd w:val="clear" w:color="auto" w:fill="FFFFFF"/>
        <w:rPr>
          <w:rFonts w:eastAsia="Times New Roman"/>
          <w:color w:val="212121"/>
        </w:rPr>
      </w:pPr>
      <w:r>
        <w:rPr>
          <w:rFonts w:eastAsia="Times New Roman"/>
          <w:color w:val="212121"/>
        </w:rPr>
        <w:t>b) documentation of vaccination from a health care provider or electronic health record; </w:t>
      </w:r>
    </w:p>
    <w:p w14:paraId="143D5C06" w14:textId="77777777" w:rsidR="0006666C" w:rsidRDefault="0006666C" w:rsidP="0006666C">
      <w:pPr>
        <w:shd w:val="clear" w:color="auto" w:fill="FFFFFF"/>
        <w:rPr>
          <w:rFonts w:eastAsia="Times New Roman"/>
          <w:color w:val="212121"/>
        </w:rPr>
      </w:pPr>
      <w:r>
        <w:rPr>
          <w:rFonts w:eastAsia="Times New Roman"/>
          <w:color w:val="212121"/>
        </w:rPr>
        <w:t>c) state immunization information system record; </w:t>
      </w:r>
    </w:p>
    <w:p w14:paraId="10FFFB8B" w14:textId="77777777" w:rsidR="0006666C" w:rsidRDefault="0006666C" w:rsidP="0006666C">
      <w:pPr>
        <w:shd w:val="clear" w:color="auto" w:fill="FFFFFF"/>
        <w:rPr>
          <w:rFonts w:eastAsia="Times New Roman"/>
          <w:color w:val="212121"/>
        </w:rPr>
      </w:pPr>
      <w:r>
        <w:rPr>
          <w:rFonts w:eastAsia="Times New Roman"/>
          <w:color w:val="212121"/>
        </w:rPr>
        <w:t>Tuberculosis screening is required by one of the following methods:</w:t>
      </w:r>
    </w:p>
    <w:p w14:paraId="4761C129" w14:textId="77777777" w:rsidR="0006666C" w:rsidRDefault="0006666C" w:rsidP="0006666C">
      <w:pPr>
        <w:shd w:val="clear" w:color="auto" w:fill="FFFFFF"/>
        <w:rPr>
          <w:rFonts w:eastAsia="Times New Roman"/>
          <w:color w:val="212121"/>
        </w:rPr>
      </w:pPr>
      <w:r>
        <w:rPr>
          <w:rFonts w:eastAsia="Times New Roman"/>
          <w:color w:val="212121"/>
        </w:rPr>
        <w:t>a)    2-step TST (tuberculin skin test) (one test within 1 year prior to date of hire and one test within 30 days prior to hire)  or</w:t>
      </w:r>
    </w:p>
    <w:p w14:paraId="0C3C2E8B" w14:textId="77777777" w:rsidR="0006666C" w:rsidRDefault="0006666C" w:rsidP="0006666C">
      <w:pPr>
        <w:shd w:val="clear" w:color="auto" w:fill="FFFFFF"/>
        <w:rPr>
          <w:rFonts w:eastAsia="Times New Roman"/>
          <w:color w:val="212121"/>
        </w:rPr>
      </w:pPr>
      <w:r>
        <w:rPr>
          <w:rFonts w:eastAsia="Times New Roman"/>
          <w:color w:val="212121"/>
        </w:rPr>
        <w:t>b)    An IGRA Blood test (either a QuantiFeron or TSpot within 30 days prior to date of hire</w:t>
      </w:r>
    </w:p>
    <w:p w14:paraId="7BD24C81" w14:textId="77777777" w:rsidR="0006666C" w:rsidRDefault="0006666C" w:rsidP="0006666C">
      <w:pPr>
        <w:shd w:val="clear" w:color="auto" w:fill="FFFFFF"/>
        <w:rPr>
          <w:rFonts w:eastAsia="Times New Roman"/>
          <w:color w:val="212121"/>
        </w:rPr>
      </w:pPr>
      <w:r>
        <w:rPr>
          <w:rFonts w:eastAsia="Times New Roman"/>
          <w:color w:val="212121"/>
        </w:rPr>
        <w:t>c)    Negative chest x-ray (within 12 months prior to date of hire)</w:t>
      </w:r>
    </w:p>
    <w:p w14:paraId="4DCDF20A" w14:textId="77777777" w:rsidR="0006666C" w:rsidRDefault="0006666C" w:rsidP="0006666C">
      <w:pPr>
        <w:shd w:val="clear" w:color="auto" w:fill="FFFFFF"/>
        <w:rPr>
          <w:rFonts w:eastAsia="Times New Roman"/>
          <w:color w:val="212121"/>
        </w:rPr>
      </w:pPr>
      <w:r>
        <w:rPr>
          <w:rFonts w:eastAsia="Times New Roman"/>
          <w:color w:val="212121"/>
        </w:rPr>
        <w:t>The following vaccines are strongly recommended for employment at Billings Clinic:</w:t>
      </w:r>
    </w:p>
    <w:p w14:paraId="70CB492A" w14:textId="77777777" w:rsidR="0006666C" w:rsidRDefault="0006666C" w:rsidP="0006666C">
      <w:pPr>
        <w:shd w:val="clear" w:color="auto" w:fill="FFFFFF"/>
        <w:rPr>
          <w:rFonts w:eastAsia="Times New Roman"/>
          <w:color w:val="212121"/>
        </w:rPr>
      </w:pPr>
      <w:r>
        <w:rPr>
          <w:rFonts w:eastAsia="Times New Roman"/>
          <w:color w:val="212121"/>
        </w:rPr>
        <w:t>a)    (2) Measles, Mumps, Rubella (MMR) vaccinations or quantitative titers showing immunity</w:t>
      </w:r>
    </w:p>
    <w:p w14:paraId="41C2C0CD" w14:textId="77777777" w:rsidR="0006666C" w:rsidRDefault="0006666C" w:rsidP="0006666C">
      <w:pPr>
        <w:shd w:val="clear" w:color="auto" w:fill="FFFFFF"/>
        <w:rPr>
          <w:rFonts w:eastAsia="Times New Roman"/>
          <w:color w:val="212121"/>
        </w:rPr>
      </w:pPr>
      <w:r>
        <w:rPr>
          <w:rFonts w:eastAsia="Times New Roman"/>
          <w:color w:val="212121"/>
        </w:rPr>
        <w:t>b)    (2) Varicella vaccinations or a quantitative titer showing immunity</w:t>
      </w:r>
    </w:p>
    <w:p w14:paraId="676B4BB7" w14:textId="77777777" w:rsidR="0006666C" w:rsidRDefault="0006666C" w:rsidP="0006666C">
      <w:pPr>
        <w:shd w:val="clear" w:color="auto" w:fill="FFFFFF"/>
        <w:rPr>
          <w:rFonts w:eastAsia="Times New Roman"/>
          <w:color w:val="212121"/>
        </w:rPr>
      </w:pPr>
      <w:r>
        <w:rPr>
          <w:rFonts w:eastAsia="Times New Roman"/>
          <w:color w:val="212121"/>
        </w:rPr>
        <w:t>c)    Annual Influenza vaccine, or proof of current year vaccine</w:t>
      </w:r>
    </w:p>
    <w:p w14:paraId="69F618CF" w14:textId="3C9B6A63" w:rsidR="00866A61" w:rsidRPr="0006666C" w:rsidRDefault="0006666C" w:rsidP="0006666C">
      <w:pPr>
        <w:pStyle w:val="ListParagraph"/>
        <w:numPr>
          <w:ilvl w:val="0"/>
          <w:numId w:val="2"/>
        </w:numPr>
        <w:rPr>
          <w:i/>
        </w:rPr>
      </w:pPr>
      <w:r>
        <w:rPr>
          <w:rFonts w:eastAsia="Times New Roman"/>
          <w:color w:val="212121"/>
        </w:rPr>
        <w:t>d)    Hepatitis B vaccine series</w:t>
      </w:r>
    </w:p>
    <w:p w14:paraId="314D1AA7" w14:textId="5ED2D30B" w:rsidR="0006666C" w:rsidRPr="0006666C" w:rsidRDefault="0006666C" w:rsidP="0006666C">
      <w:pPr>
        <w:rPr>
          <w:i/>
        </w:rPr>
      </w:pPr>
      <w:r>
        <w:rPr>
          <w:i/>
        </w:rPr>
        <w:t>Contact person: Katie</w:t>
      </w:r>
      <w:r w:rsidR="00F75734">
        <w:rPr>
          <w:i/>
        </w:rPr>
        <w:t xml:space="preserve"> Hagenbuch – Billings clinic </w:t>
      </w:r>
    </w:p>
    <w:p w14:paraId="2122B4A3" w14:textId="77777777" w:rsidR="00866A61" w:rsidRPr="00973DBC" w:rsidRDefault="00866A61" w:rsidP="00866A61">
      <w:pPr>
        <w:rPr>
          <w:b/>
        </w:rPr>
      </w:pPr>
      <w:r w:rsidRPr="00973DBC">
        <w:rPr>
          <w:b/>
        </w:rPr>
        <w:t>Approximate Timeline:</w:t>
      </w:r>
    </w:p>
    <w:p w14:paraId="4B789938" w14:textId="77777777" w:rsidR="00866A61" w:rsidRDefault="00866A61" w:rsidP="00866A61">
      <w:pPr>
        <w:tabs>
          <w:tab w:val="left" w:pos="1800"/>
        </w:tabs>
        <w:ind w:left="720"/>
      </w:pPr>
      <w:r>
        <w:t>1 day:</w:t>
      </w:r>
      <w:r>
        <w:tab/>
        <w:t>orientation, introductions and project scoping</w:t>
      </w:r>
    </w:p>
    <w:p w14:paraId="6C9AE889" w14:textId="77777777" w:rsidR="00866A61" w:rsidRDefault="00866A61" w:rsidP="00866A61">
      <w:pPr>
        <w:tabs>
          <w:tab w:val="left" w:pos="1800"/>
        </w:tabs>
        <w:ind w:left="720"/>
      </w:pPr>
      <w:r>
        <w:t xml:space="preserve">3 days: </w:t>
      </w:r>
      <w:r>
        <w:tab/>
        <w:t>data collection and analysis of current system</w:t>
      </w:r>
    </w:p>
    <w:p w14:paraId="0DD7BEE4" w14:textId="77777777" w:rsidR="00866A61" w:rsidRDefault="00866A61" w:rsidP="00866A61">
      <w:pPr>
        <w:tabs>
          <w:tab w:val="left" w:pos="1800"/>
        </w:tabs>
        <w:ind w:left="720"/>
      </w:pPr>
      <w:r>
        <w:lastRenderedPageBreak/>
        <w:t>3 days:</w:t>
      </w:r>
      <w:r>
        <w:tab/>
        <w:t>solution development</w:t>
      </w:r>
    </w:p>
    <w:p w14:paraId="28C2F2B1" w14:textId="77777777" w:rsidR="00866A61" w:rsidRDefault="00866A61" w:rsidP="00866A61">
      <w:pPr>
        <w:tabs>
          <w:tab w:val="left" w:pos="1800"/>
        </w:tabs>
        <w:ind w:left="720"/>
      </w:pPr>
      <w:r>
        <w:t>2 days:</w:t>
      </w:r>
      <w:r>
        <w:tab/>
        <w:t>implementation and tweaking</w:t>
      </w:r>
    </w:p>
    <w:p w14:paraId="59E53D2D" w14:textId="77777777" w:rsidR="00866A61" w:rsidRDefault="00866A61" w:rsidP="00866A61">
      <w:pPr>
        <w:tabs>
          <w:tab w:val="left" w:pos="1800"/>
        </w:tabs>
        <w:ind w:left="720"/>
      </w:pPr>
      <w:r>
        <w:t>1 day:</w:t>
      </w:r>
      <w:r>
        <w:tab/>
        <w:t>report out and finalization</w:t>
      </w:r>
    </w:p>
    <w:p w14:paraId="4A68CF1F" w14:textId="77777777" w:rsidR="00866A61" w:rsidRPr="00866A61" w:rsidRDefault="00866A61">
      <w:pPr>
        <w:rPr>
          <w:i/>
        </w:rPr>
      </w:pPr>
      <w:r w:rsidRPr="00866A61">
        <w:rPr>
          <w:i/>
          <w:highlight w:val="yellow"/>
        </w:rPr>
        <w:t>Goal is an implemented solution!</w:t>
      </w:r>
    </w:p>
    <w:sectPr w:rsidR="00866A61" w:rsidRPr="00866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F6EA" w14:textId="77777777" w:rsidR="003E01AF" w:rsidRDefault="003E01AF" w:rsidP="003E01AF">
      <w:pPr>
        <w:spacing w:after="0" w:line="240" w:lineRule="auto"/>
      </w:pPr>
      <w:r>
        <w:separator/>
      </w:r>
    </w:p>
  </w:endnote>
  <w:endnote w:type="continuationSeparator" w:id="0">
    <w:p w14:paraId="79999191" w14:textId="77777777" w:rsidR="003E01AF" w:rsidRDefault="003E01AF" w:rsidP="003E01AF">
      <w:pPr>
        <w:spacing w:after="0" w:line="240" w:lineRule="auto"/>
      </w:pPr>
      <w:r>
        <w:continuationSeparator/>
      </w:r>
    </w:p>
  </w:endnote>
  <w:endnote w:type="continuationNotice" w:id="1">
    <w:p w14:paraId="06DE262D" w14:textId="77777777" w:rsidR="00EA21C0" w:rsidRDefault="00EA2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F3AC" w14:textId="77777777" w:rsidR="003E01AF" w:rsidRDefault="003E01AF" w:rsidP="003E01AF">
      <w:pPr>
        <w:spacing w:after="0" w:line="240" w:lineRule="auto"/>
      </w:pPr>
      <w:r>
        <w:separator/>
      </w:r>
    </w:p>
  </w:footnote>
  <w:footnote w:type="continuationSeparator" w:id="0">
    <w:p w14:paraId="3C3B56E5" w14:textId="77777777" w:rsidR="003E01AF" w:rsidRDefault="003E01AF" w:rsidP="003E01AF">
      <w:pPr>
        <w:spacing w:after="0" w:line="240" w:lineRule="auto"/>
      </w:pPr>
      <w:r>
        <w:continuationSeparator/>
      </w:r>
    </w:p>
  </w:footnote>
  <w:footnote w:type="continuationNotice" w:id="1">
    <w:p w14:paraId="7EF72598" w14:textId="77777777" w:rsidR="00EA21C0" w:rsidRDefault="00EA21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D7032"/>
    <w:multiLevelType w:val="hybridMultilevel"/>
    <w:tmpl w:val="CAE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22C9C"/>
    <w:multiLevelType w:val="hybridMultilevel"/>
    <w:tmpl w:val="3D80E7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177B39"/>
    <w:multiLevelType w:val="hybridMultilevel"/>
    <w:tmpl w:val="43685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94"/>
    <w:rsid w:val="0006666C"/>
    <w:rsid w:val="000A7576"/>
    <w:rsid w:val="000E3312"/>
    <w:rsid w:val="0016759C"/>
    <w:rsid w:val="001A171E"/>
    <w:rsid w:val="00232D5D"/>
    <w:rsid w:val="00241E73"/>
    <w:rsid w:val="00252BF5"/>
    <w:rsid w:val="00274125"/>
    <w:rsid w:val="002B10A0"/>
    <w:rsid w:val="002F21AA"/>
    <w:rsid w:val="003000A5"/>
    <w:rsid w:val="003C2046"/>
    <w:rsid w:val="003E01AF"/>
    <w:rsid w:val="003E126D"/>
    <w:rsid w:val="004132CD"/>
    <w:rsid w:val="00437F80"/>
    <w:rsid w:val="00461214"/>
    <w:rsid w:val="004B142E"/>
    <w:rsid w:val="00500663"/>
    <w:rsid w:val="00570E41"/>
    <w:rsid w:val="00572E4A"/>
    <w:rsid w:val="006E3B39"/>
    <w:rsid w:val="007613A5"/>
    <w:rsid w:val="007E762F"/>
    <w:rsid w:val="0084510E"/>
    <w:rsid w:val="008548A9"/>
    <w:rsid w:val="00866A61"/>
    <w:rsid w:val="00894CF6"/>
    <w:rsid w:val="008E177D"/>
    <w:rsid w:val="00917429"/>
    <w:rsid w:val="00985D21"/>
    <w:rsid w:val="00A3684C"/>
    <w:rsid w:val="00A50663"/>
    <w:rsid w:val="00A86B4A"/>
    <w:rsid w:val="00B93601"/>
    <w:rsid w:val="00BA50ED"/>
    <w:rsid w:val="00C36930"/>
    <w:rsid w:val="00CC17D6"/>
    <w:rsid w:val="00CC7D20"/>
    <w:rsid w:val="00CD3146"/>
    <w:rsid w:val="00D55052"/>
    <w:rsid w:val="00DE064B"/>
    <w:rsid w:val="00E055C2"/>
    <w:rsid w:val="00E666E3"/>
    <w:rsid w:val="00E67659"/>
    <w:rsid w:val="00EA21C0"/>
    <w:rsid w:val="00EB7D94"/>
    <w:rsid w:val="00F75734"/>
    <w:rsid w:val="00FE474A"/>
    <w:rsid w:val="00FF7C4D"/>
    <w:rsid w:val="213FC451"/>
    <w:rsid w:val="26CA20D4"/>
    <w:rsid w:val="2763514B"/>
    <w:rsid w:val="2B960A13"/>
    <w:rsid w:val="36AAC319"/>
    <w:rsid w:val="3C8EE7CF"/>
    <w:rsid w:val="51C56131"/>
    <w:rsid w:val="57A985E7"/>
    <w:rsid w:val="5F0DB94E"/>
    <w:rsid w:val="64F1DE04"/>
    <w:rsid w:val="678A282C"/>
    <w:rsid w:val="6E80F9AE"/>
    <w:rsid w:val="743982A3"/>
    <w:rsid w:val="751777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D9B39"/>
  <w15:docId w15:val="{17D6A5FC-AA63-426D-AB25-2AFD7E9D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94"/>
    <w:rPr>
      <w:rFonts w:ascii="Tahoma" w:hAnsi="Tahoma" w:cs="Tahoma"/>
      <w:sz w:val="16"/>
      <w:szCs w:val="16"/>
    </w:rPr>
  </w:style>
  <w:style w:type="table" w:styleId="LightList-Accent2">
    <w:name w:val="Light List Accent 2"/>
    <w:basedOn w:val="TableNormal"/>
    <w:uiPriority w:val="61"/>
    <w:rsid w:val="007E762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4132CD"/>
    <w:pPr>
      <w:ind w:left="720"/>
      <w:contextualSpacing/>
    </w:pPr>
  </w:style>
  <w:style w:type="paragraph" w:styleId="Header">
    <w:name w:val="header"/>
    <w:basedOn w:val="Normal"/>
    <w:link w:val="HeaderChar"/>
    <w:uiPriority w:val="99"/>
    <w:semiHidden/>
    <w:unhideWhenUsed/>
    <w:rsid w:val="00EA2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1C0"/>
  </w:style>
  <w:style w:type="paragraph" w:styleId="Footer">
    <w:name w:val="footer"/>
    <w:basedOn w:val="Normal"/>
    <w:link w:val="FooterChar"/>
    <w:uiPriority w:val="99"/>
    <w:semiHidden/>
    <w:unhideWhenUsed/>
    <w:rsid w:val="00EA2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1C0"/>
  </w:style>
  <w:style w:type="character" w:styleId="Hyperlink">
    <w:name w:val="Hyperlink"/>
    <w:basedOn w:val="DefaultParagraphFont"/>
    <w:uiPriority w:val="99"/>
    <w:unhideWhenUsed/>
    <w:rsid w:val="00A86B4A"/>
    <w:rPr>
      <w:color w:val="0000FF" w:themeColor="hyperlink"/>
      <w:u w:val="single"/>
    </w:rPr>
  </w:style>
  <w:style w:type="character" w:customStyle="1" w:styleId="UnresolvedMention">
    <w:name w:val="Unresolved Mention"/>
    <w:basedOn w:val="DefaultParagraphFont"/>
    <w:uiPriority w:val="99"/>
    <w:semiHidden/>
    <w:unhideWhenUsed/>
    <w:rsid w:val="00A8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ker4@billings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 - Bozeman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Sobek, Durward</dc:creator>
  <cp:keywords/>
  <cp:lastModifiedBy>Jennifer Wagner</cp:lastModifiedBy>
  <cp:revision>3</cp:revision>
  <cp:lastPrinted>2022-04-28T15:13:00Z</cp:lastPrinted>
  <dcterms:created xsi:type="dcterms:W3CDTF">2022-04-28T20:46:00Z</dcterms:created>
  <dcterms:modified xsi:type="dcterms:W3CDTF">2022-05-02T15:38:00Z</dcterms:modified>
</cp:coreProperties>
</file>