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17" w:rsidRPr="003F78E9" w:rsidRDefault="00011DD4" w:rsidP="00626046">
      <w:pPr>
        <w:pStyle w:val="Heading2"/>
        <w:spacing w:after="120"/>
        <w:rPr>
          <w:sz w:val="24"/>
        </w:rPr>
      </w:pPr>
      <w:bookmarkStart w:id="0" w:name="_GoBack"/>
      <w:bookmarkEnd w:id="0"/>
      <w:r w:rsidRPr="00011DD4">
        <w:rPr>
          <w:rFonts w:ascii="Times New Roman" w:hAnsi="Times New Roman" w:cs="Times New Roman"/>
          <w:sz w:val="24"/>
        </w:rPr>
        <w:t>Cabinet Peaks Medical Center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2610"/>
        <w:gridCol w:w="2251"/>
      </w:tblGrid>
      <w:tr w:rsidR="006C34D2" w:rsidRPr="007B6B09" w:rsidTr="00757AB0">
        <w:trPr>
          <w:trHeight w:val="388"/>
          <w:jc w:val="center"/>
        </w:trPr>
        <w:tc>
          <w:tcPr>
            <w:tcW w:w="5402" w:type="dxa"/>
            <w:tcBorders>
              <w:bottom w:val="nil"/>
            </w:tcBorders>
            <w:vAlign w:val="bottom"/>
          </w:tcPr>
          <w:p w:rsidR="006C34D2" w:rsidRPr="006C34D2" w:rsidRDefault="006C34D2" w:rsidP="00DE0D95">
            <w:pPr>
              <w:rPr>
                <w:bCs/>
              </w:rPr>
            </w:pPr>
            <w:r w:rsidRPr="007B6B09">
              <w:rPr>
                <w:bCs/>
              </w:rPr>
              <w:t>Originating Department:</w:t>
            </w:r>
          </w:p>
        </w:tc>
        <w:tc>
          <w:tcPr>
            <w:tcW w:w="4861" w:type="dxa"/>
            <w:gridSpan w:val="2"/>
            <w:tcBorders>
              <w:bottom w:val="nil"/>
            </w:tcBorders>
            <w:vAlign w:val="bottom"/>
          </w:tcPr>
          <w:p w:rsidR="006C34D2" w:rsidRPr="006C34D2" w:rsidRDefault="006C34D2" w:rsidP="00DE0D95">
            <w:pPr>
              <w:pStyle w:val="Heading1"/>
              <w:rPr>
                <w:rFonts w:ascii="Times New Roman" w:hAnsi="Times New Roman" w:cs="Times New Roman"/>
                <w:b w:val="0"/>
                <w:bCs/>
                <w:szCs w:val="24"/>
              </w:rPr>
            </w:pPr>
            <w:r w:rsidRPr="007B6B09">
              <w:rPr>
                <w:rFonts w:ascii="Times New Roman" w:hAnsi="Times New Roman" w:cs="Times New Roman"/>
                <w:b w:val="0"/>
                <w:bCs/>
                <w:szCs w:val="24"/>
              </w:rPr>
              <w:t>Index:</w:t>
            </w:r>
          </w:p>
        </w:tc>
      </w:tr>
      <w:tr w:rsidR="006C34D2" w:rsidRPr="007B6B09" w:rsidTr="00757AB0">
        <w:trPr>
          <w:trHeight w:val="388"/>
          <w:jc w:val="center"/>
        </w:trPr>
        <w:tc>
          <w:tcPr>
            <w:tcW w:w="5402" w:type="dxa"/>
            <w:tcBorders>
              <w:top w:val="nil"/>
              <w:bottom w:val="single" w:sz="4" w:space="0" w:color="auto"/>
            </w:tcBorders>
            <w:vAlign w:val="center"/>
          </w:tcPr>
          <w:p w:rsidR="006C34D2" w:rsidRPr="008834E6" w:rsidRDefault="00196BE3" w:rsidP="00A77920">
            <w:pPr>
              <w:rPr>
                <w:b/>
                <w:bCs/>
              </w:rPr>
            </w:pPr>
            <w:r w:rsidRPr="00196BE3">
              <w:rPr>
                <w:b/>
              </w:rPr>
              <w:t>Quality Risk Management</w:t>
            </w:r>
          </w:p>
        </w:tc>
        <w:tc>
          <w:tcPr>
            <w:tcW w:w="4861" w:type="dxa"/>
            <w:gridSpan w:val="2"/>
            <w:tcBorders>
              <w:top w:val="nil"/>
              <w:bottom w:val="single" w:sz="4" w:space="0" w:color="auto"/>
            </w:tcBorders>
            <w:vAlign w:val="center"/>
          </w:tcPr>
          <w:p w:rsidR="006C34D2" w:rsidRPr="00D03553" w:rsidRDefault="00196BE3" w:rsidP="000D3001">
            <w:pPr>
              <w:pStyle w:val="Heading1"/>
              <w:rPr>
                <w:rFonts w:ascii="Times New Roman" w:hAnsi="Times New Roman" w:cs="Times New Roman"/>
                <w:bCs/>
                <w:szCs w:val="24"/>
              </w:rPr>
            </w:pPr>
            <w:r>
              <w:rPr>
                <w:rFonts w:ascii="Times New Roman" w:hAnsi="Times New Roman" w:cs="Times New Roman"/>
                <w:bCs/>
                <w:szCs w:val="24"/>
              </w:rPr>
              <w:t>UR-</w:t>
            </w:r>
            <w:r w:rsidR="006F2777">
              <w:rPr>
                <w:rFonts w:ascii="Times New Roman" w:hAnsi="Times New Roman" w:cs="Times New Roman"/>
                <w:bCs/>
                <w:szCs w:val="24"/>
              </w:rPr>
              <w:t>102</w:t>
            </w:r>
          </w:p>
        </w:tc>
      </w:tr>
      <w:tr w:rsidR="006C34D2" w:rsidRPr="007B6B09" w:rsidTr="00757AB0">
        <w:trPr>
          <w:trHeight w:val="388"/>
          <w:jc w:val="center"/>
        </w:trPr>
        <w:tc>
          <w:tcPr>
            <w:tcW w:w="5402" w:type="dxa"/>
            <w:tcBorders>
              <w:bottom w:val="nil"/>
            </w:tcBorders>
            <w:vAlign w:val="bottom"/>
          </w:tcPr>
          <w:p w:rsidR="006C34D2" w:rsidRPr="00001210" w:rsidRDefault="006C34D2" w:rsidP="00DE0D95">
            <w:pPr>
              <w:pStyle w:val="Heading1"/>
              <w:rPr>
                <w:rFonts w:ascii="Times New Roman" w:hAnsi="Times New Roman" w:cs="Times New Roman"/>
                <w:b w:val="0"/>
                <w:szCs w:val="24"/>
              </w:rPr>
            </w:pPr>
            <w:r w:rsidRPr="00001210">
              <w:rPr>
                <w:rFonts w:ascii="Times New Roman" w:hAnsi="Times New Roman" w:cs="Times New Roman"/>
                <w:b w:val="0"/>
                <w:szCs w:val="24"/>
              </w:rPr>
              <w:t>Affected Departments/Employees:</w:t>
            </w:r>
          </w:p>
        </w:tc>
        <w:tc>
          <w:tcPr>
            <w:tcW w:w="2610" w:type="dxa"/>
            <w:tcBorders>
              <w:bottom w:val="nil"/>
            </w:tcBorders>
            <w:vAlign w:val="bottom"/>
          </w:tcPr>
          <w:p w:rsidR="006C34D2" w:rsidRPr="00001210" w:rsidRDefault="006C34D2" w:rsidP="00DE0D95">
            <w:pPr>
              <w:pStyle w:val="Heading1"/>
              <w:rPr>
                <w:rFonts w:ascii="Times New Roman" w:hAnsi="Times New Roman" w:cs="Times New Roman"/>
                <w:b w:val="0"/>
                <w:szCs w:val="24"/>
              </w:rPr>
            </w:pPr>
            <w:r w:rsidRPr="00001210">
              <w:rPr>
                <w:rFonts w:ascii="Times New Roman" w:hAnsi="Times New Roman" w:cs="Times New Roman"/>
                <w:b w:val="0"/>
                <w:szCs w:val="24"/>
              </w:rPr>
              <w:t>Original Effective Date:</w:t>
            </w:r>
          </w:p>
        </w:tc>
        <w:tc>
          <w:tcPr>
            <w:tcW w:w="2251" w:type="dxa"/>
            <w:tcBorders>
              <w:bottom w:val="nil"/>
            </w:tcBorders>
            <w:vAlign w:val="bottom"/>
          </w:tcPr>
          <w:p w:rsidR="006C34D2" w:rsidRPr="00001210" w:rsidRDefault="006C34D2" w:rsidP="008B02DF">
            <w:pPr>
              <w:pStyle w:val="Footer"/>
              <w:tabs>
                <w:tab w:val="clear" w:pos="4320"/>
                <w:tab w:val="clear" w:pos="8640"/>
              </w:tabs>
              <w:jc w:val="center"/>
              <w:rPr>
                <w:bCs/>
              </w:rPr>
            </w:pPr>
            <w:r w:rsidRPr="00001210">
              <w:rPr>
                <w:bCs/>
              </w:rPr>
              <w:t>Revised Date</w:t>
            </w:r>
            <w:r w:rsidR="008B02DF" w:rsidRPr="00001210">
              <w:rPr>
                <w:bCs/>
              </w:rPr>
              <w:t>:</w:t>
            </w:r>
          </w:p>
        </w:tc>
      </w:tr>
      <w:tr w:rsidR="006C34D2" w:rsidRPr="007B6B09" w:rsidTr="00757AB0">
        <w:trPr>
          <w:trHeight w:val="388"/>
          <w:jc w:val="center"/>
        </w:trPr>
        <w:tc>
          <w:tcPr>
            <w:tcW w:w="5402" w:type="dxa"/>
            <w:tcBorders>
              <w:top w:val="nil"/>
            </w:tcBorders>
            <w:vAlign w:val="center"/>
          </w:tcPr>
          <w:p w:rsidR="000F13BD" w:rsidRDefault="00A254FB">
            <w:pPr>
              <w:pStyle w:val="Heading1"/>
              <w:rPr>
                <w:rFonts w:ascii="Times New Roman" w:hAnsi="Times New Roman" w:cs="Times New Roman"/>
                <w:szCs w:val="24"/>
              </w:rPr>
            </w:pPr>
            <w:r w:rsidRPr="00A254FB">
              <w:rPr>
                <w:rFonts w:ascii="Times New Roman" w:hAnsi="Times New Roman" w:cs="Times New Roman"/>
                <w:szCs w:val="24"/>
              </w:rPr>
              <w:t>Medical Staff, Quality Management, Acute Care Nursing, Health Information Management, Patient Financial Services</w:t>
            </w:r>
          </w:p>
        </w:tc>
        <w:tc>
          <w:tcPr>
            <w:tcW w:w="2610" w:type="dxa"/>
            <w:tcBorders>
              <w:top w:val="nil"/>
            </w:tcBorders>
            <w:vAlign w:val="center"/>
          </w:tcPr>
          <w:p w:rsidR="006C34D2" w:rsidRPr="00001210" w:rsidRDefault="006F2777" w:rsidP="00F72885">
            <w:pPr>
              <w:pStyle w:val="Heading1"/>
              <w:jc w:val="center"/>
              <w:rPr>
                <w:rFonts w:ascii="Times New Roman" w:hAnsi="Times New Roman" w:cs="Times New Roman"/>
                <w:szCs w:val="24"/>
              </w:rPr>
            </w:pPr>
            <w:r>
              <w:rPr>
                <w:rFonts w:ascii="Times New Roman" w:hAnsi="Times New Roman" w:cs="Times New Roman"/>
                <w:szCs w:val="24"/>
              </w:rPr>
              <w:t>07/23/96</w:t>
            </w:r>
          </w:p>
        </w:tc>
        <w:tc>
          <w:tcPr>
            <w:tcW w:w="2251" w:type="dxa"/>
            <w:tcBorders>
              <w:top w:val="nil"/>
            </w:tcBorders>
            <w:vAlign w:val="center"/>
          </w:tcPr>
          <w:p w:rsidR="006C34D2" w:rsidRPr="00001210" w:rsidRDefault="00B40F96" w:rsidP="009E7B03">
            <w:pPr>
              <w:pStyle w:val="Heading1"/>
              <w:jc w:val="center"/>
              <w:rPr>
                <w:rFonts w:ascii="Times New Roman" w:hAnsi="Times New Roman" w:cs="Times New Roman"/>
                <w:szCs w:val="24"/>
              </w:rPr>
            </w:pPr>
            <w:r>
              <w:rPr>
                <w:rFonts w:ascii="Times New Roman" w:hAnsi="Times New Roman" w:cs="Times New Roman"/>
                <w:szCs w:val="24"/>
              </w:rPr>
              <w:t>0</w:t>
            </w:r>
            <w:r w:rsidR="009E7B03">
              <w:rPr>
                <w:rFonts w:ascii="Times New Roman" w:hAnsi="Times New Roman" w:cs="Times New Roman"/>
                <w:szCs w:val="24"/>
              </w:rPr>
              <w:t>3/18</w:t>
            </w:r>
            <w:r>
              <w:rPr>
                <w:rFonts w:ascii="Times New Roman" w:hAnsi="Times New Roman" w:cs="Times New Roman"/>
                <w:szCs w:val="24"/>
              </w:rPr>
              <w:t>/15</w:t>
            </w:r>
          </w:p>
        </w:tc>
      </w:tr>
    </w:tbl>
    <w:p w:rsidR="00992128" w:rsidRPr="003F78E9" w:rsidRDefault="00011DD4" w:rsidP="003E65F9">
      <w:pPr>
        <w:spacing w:before="120"/>
        <w:jc w:val="center"/>
        <w:rPr>
          <w:b/>
          <w:bCs/>
        </w:rPr>
      </w:pPr>
      <w:r w:rsidRPr="00011DD4">
        <w:rPr>
          <w:b/>
          <w:bCs/>
        </w:rPr>
        <w:t>Utilization Review Plan</w:t>
      </w:r>
    </w:p>
    <w:p w:rsidR="00853240" w:rsidRPr="003F78E9" w:rsidRDefault="00011DD4" w:rsidP="006A1FDF">
      <w:pPr>
        <w:rPr>
          <w:bCs/>
          <w:sz w:val="12"/>
          <w:szCs w:val="12"/>
        </w:rPr>
      </w:pPr>
      <w:r w:rsidRPr="00011DD4">
        <w:rPr>
          <w:bCs/>
          <w:sz w:val="12"/>
          <w:szCs w:val="12"/>
          <w:u w:val="single"/>
        </w:rPr>
        <w:tab/>
      </w:r>
      <w:r w:rsidRPr="00011DD4">
        <w:rPr>
          <w:bCs/>
          <w:sz w:val="12"/>
          <w:szCs w:val="12"/>
          <w:u w:val="single"/>
        </w:rPr>
        <w:tab/>
      </w:r>
      <w:r w:rsidRPr="00011DD4">
        <w:rPr>
          <w:bCs/>
          <w:sz w:val="12"/>
          <w:szCs w:val="12"/>
          <w:u w:val="single"/>
        </w:rPr>
        <w:tab/>
      </w:r>
      <w:r w:rsidRPr="00011DD4">
        <w:rPr>
          <w:bCs/>
          <w:sz w:val="12"/>
          <w:szCs w:val="12"/>
          <w:u w:val="single"/>
        </w:rPr>
        <w:tab/>
      </w:r>
      <w:r w:rsidRPr="00011DD4">
        <w:rPr>
          <w:bCs/>
          <w:sz w:val="12"/>
          <w:szCs w:val="12"/>
          <w:u w:val="single"/>
        </w:rPr>
        <w:tab/>
      </w:r>
      <w:r w:rsidRPr="00011DD4">
        <w:rPr>
          <w:bCs/>
          <w:sz w:val="12"/>
          <w:szCs w:val="12"/>
          <w:u w:val="single"/>
        </w:rPr>
        <w:tab/>
      </w:r>
      <w:r w:rsidRPr="00011DD4">
        <w:rPr>
          <w:bCs/>
          <w:sz w:val="12"/>
          <w:szCs w:val="12"/>
          <w:u w:val="single"/>
        </w:rPr>
        <w:tab/>
      </w:r>
      <w:r w:rsidRPr="00011DD4">
        <w:rPr>
          <w:bCs/>
          <w:sz w:val="12"/>
          <w:szCs w:val="12"/>
          <w:u w:val="single"/>
        </w:rPr>
        <w:tab/>
      </w:r>
      <w:r w:rsidRPr="00011DD4">
        <w:rPr>
          <w:bCs/>
          <w:sz w:val="12"/>
          <w:szCs w:val="12"/>
          <w:u w:val="single"/>
        </w:rPr>
        <w:tab/>
      </w:r>
      <w:r w:rsidRPr="00011DD4">
        <w:rPr>
          <w:bCs/>
          <w:sz w:val="12"/>
          <w:szCs w:val="12"/>
          <w:u w:val="single"/>
        </w:rPr>
        <w:tab/>
      </w:r>
      <w:r w:rsidRPr="00011DD4">
        <w:rPr>
          <w:bCs/>
          <w:sz w:val="12"/>
          <w:szCs w:val="12"/>
          <w:u w:val="single"/>
        </w:rPr>
        <w:tab/>
      </w:r>
      <w:r w:rsidRPr="00011DD4">
        <w:rPr>
          <w:bCs/>
          <w:sz w:val="12"/>
          <w:szCs w:val="12"/>
          <w:u w:val="single"/>
        </w:rPr>
        <w:tab/>
      </w:r>
      <w:r w:rsidRPr="00011DD4">
        <w:rPr>
          <w:bCs/>
          <w:sz w:val="12"/>
          <w:szCs w:val="12"/>
          <w:u w:val="single"/>
        </w:rPr>
        <w:tab/>
      </w:r>
      <w:r w:rsidRPr="00011DD4">
        <w:rPr>
          <w:bCs/>
          <w:sz w:val="12"/>
          <w:szCs w:val="12"/>
          <w:u w:val="single"/>
        </w:rPr>
        <w:tab/>
      </w:r>
    </w:p>
    <w:p w:rsidR="00D36291" w:rsidRDefault="009E2498" w:rsidP="00D36291">
      <w:pPr>
        <w:tabs>
          <w:tab w:val="center" w:pos="4680"/>
        </w:tabs>
        <w:suppressAutoHyphens/>
        <w:overflowPunct w:val="0"/>
        <w:autoSpaceDE w:val="0"/>
        <w:autoSpaceDN w:val="0"/>
        <w:adjustRightInd w:val="0"/>
        <w:spacing w:before="120"/>
        <w:jc w:val="both"/>
        <w:rPr>
          <w:b/>
          <w:bCs/>
        </w:rPr>
      </w:pPr>
      <w:r>
        <w:rPr>
          <w:b/>
          <w:bCs/>
        </w:rPr>
        <w:t>Purpose</w:t>
      </w:r>
      <w:r w:rsidR="00B66058" w:rsidRPr="00B66058">
        <w:rPr>
          <w:b/>
          <w:bCs/>
        </w:rPr>
        <w:t>:</w:t>
      </w:r>
    </w:p>
    <w:p w:rsidR="001C237A" w:rsidRPr="00FB0123" w:rsidRDefault="00A254FB" w:rsidP="001C237A">
      <w:r w:rsidRPr="00BF1D7C">
        <w:t xml:space="preserve">The purpose of the Utilization Review (UR) Program  </w:t>
      </w:r>
      <w:r w:rsidR="001C237A">
        <w:t xml:space="preserve"> is </w:t>
      </w:r>
      <w:r w:rsidR="001C237A" w:rsidRPr="00FB0123">
        <w:t xml:space="preserve">to assure that the medical care rendered to patients at </w:t>
      </w:r>
      <w:r w:rsidR="001C237A">
        <w:t>Cabinet Peaks Medical Center</w:t>
      </w:r>
      <w:r w:rsidR="001C237A" w:rsidRPr="00BF1D7C">
        <w:t xml:space="preserve"> (</w:t>
      </w:r>
      <w:r w:rsidR="001C237A">
        <w:t>CPMC</w:t>
      </w:r>
      <w:r w:rsidR="001C237A" w:rsidRPr="00BF1D7C">
        <w:t xml:space="preserve">) </w:t>
      </w:r>
      <w:r w:rsidR="001C237A" w:rsidRPr="00FB0123">
        <w:t xml:space="preserve">is evaluated for appropriateness, consistency and quality while efficiently utilizing services in the most cost effective manner across the acute care continuum. The </w:t>
      </w:r>
      <w:r w:rsidR="001C237A">
        <w:t>UR program</w:t>
      </w:r>
      <w:r w:rsidR="001C237A" w:rsidRPr="00FB0123">
        <w:t xml:space="preserve"> </w:t>
      </w:r>
      <w:r w:rsidR="001C237A">
        <w:t>should</w:t>
      </w:r>
      <w:r w:rsidR="001C237A" w:rsidRPr="00FB0123">
        <w:t xml:space="preserve"> also ensure that the right services are delivered to patients in the right setting with the right resources resulting in the right clinical outcomes at the right reimbursement</w:t>
      </w:r>
      <w:r w:rsidR="001C237A" w:rsidRPr="00FB0123">
        <w:rPr>
          <w:color w:val="800000"/>
        </w:rPr>
        <w:t xml:space="preserve">. </w:t>
      </w:r>
      <w:r w:rsidR="001C237A" w:rsidRPr="00FB0123">
        <w:t>This plan will conform to applicable standards of the</w:t>
      </w:r>
      <w:r w:rsidR="001C237A" w:rsidRPr="001C237A">
        <w:t xml:space="preserve"> </w:t>
      </w:r>
      <w:r w:rsidR="001C237A" w:rsidRPr="00BF1D7C">
        <w:t>Center for Medicare and Medicaid (CMS) regulations</w:t>
      </w:r>
      <w:r w:rsidR="001C237A" w:rsidRPr="00FB0123">
        <w:t>.</w:t>
      </w:r>
    </w:p>
    <w:p w:rsidR="00A254FB" w:rsidRPr="00BB4A85" w:rsidRDefault="00A254FB" w:rsidP="00A254FB">
      <w:pPr>
        <w:jc w:val="both"/>
        <w:rPr>
          <w:sz w:val="12"/>
          <w:szCs w:val="12"/>
        </w:rPr>
      </w:pPr>
    </w:p>
    <w:p w:rsidR="00A254FB" w:rsidRPr="00BF1D7C" w:rsidRDefault="00A254FB" w:rsidP="00A254FB">
      <w:pPr>
        <w:jc w:val="both"/>
        <w:rPr>
          <w:b/>
        </w:rPr>
      </w:pPr>
      <w:r w:rsidRPr="00BF1D7C">
        <w:rPr>
          <w:b/>
        </w:rPr>
        <w:t>Policy:</w:t>
      </w:r>
    </w:p>
    <w:p w:rsidR="00A254FB" w:rsidRPr="00BF1D7C" w:rsidRDefault="00A254FB" w:rsidP="00A254FB">
      <w:pPr>
        <w:jc w:val="both"/>
      </w:pPr>
      <w:r w:rsidRPr="00BF1D7C">
        <w:t xml:space="preserve">It is the policy of </w:t>
      </w:r>
      <w:r>
        <w:t xml:space="preserve">Cabinet Peaks Medical </w:t>
      </w:r>
      <w:r w:rsidR="0042728B">
        <w:t>Center</w:t>
      </w:r>
      <w:r w:rsidRPr="00BF1D7C">
        <w:t xml:space="preserve"> to have in effect a UR plan that provides for review of services furnished by the </w:t>
      </w:r>
      <w:r>
        <w:t>Medical Center</w:t>
      </w:r>
      <w:r w:rsidRPr="00BF1D7C">
        <w:t xml:space="preserve"> and by members of the medical staff to patients.</w:t>
      </w:r>
    </w:p>
    <w:p w:rsidR="00A254FB" w:rsidRPr="00BB4A85" w:rsidRDefault="00A254FB" w:rsidP="00A254FB">
      <w:pPr>
        <w:jc w:val="both"/>
        <w:rPr>
          <w:sz w:val="12"/>
          <w:szCs w:val="12"/>
        </w:rPr>
      </w:pPr>
    </w:p>
    <w:p w:rsidR="00A254FB" w:rsidRPr="00BF1D7C" w:rsidRDefault="00A254FB" w:rsidP="00A254FB">
      <w:pPr>
        <w:jc w:val="both"/>
        <w:rPr>
          <w:b/>
        </w:rPr>
      </w:pPr>
      <w:r w:rsidRPr="00BF1D7C">
        <w:rPr>
          <w:b/>
        </w:rPr>
        <w:t>Supportive Data:</w:t>
      </w:r>
    </w:p>
    <w:p w:rsidR="00A254FB" w:rsidRPr="00BF1D7C" w:rsidRDefault="00A254FB" w:rsidP="00A254FB">
      <w:pPr>
        <w:jc w:val="both"/>
      </w:pPr>
      <w:r w:rsidRPr="00BF1D7C">
        <w:t xml:space="preserve">The </w:t>
      </w:r>
      <w:r>
        <w:t>Cabinet Peaks Medical Center Board of Directors</w:t>
      </w:r>
      <w:r w:rsidRPr="00BF1D7C">
        <w:t xml:space="preserve"> has delegated to the UR Committee the authority and responsibility to carry out this UR plan.</w:t>
      </w:r>
    </w:p>
    <w:p w:rsidR="00A254FB" w:rsidRPr="00BB4A85" w:rsidRDefault="00A254FB" w:rsidP="00A254FB">
      <w:pPr>
        <w:jc w:val="both"/>
        <w:rPr>
          <w:sz w:val="12"/>
          <w:szCs w:val="12"/>
        </w:rPr>
      </w:pPr>
    </w:p>
    <w:p w:rsidR="00A254FB" w:rsidRPr="00BF1D7C" w:rsidRDefault="00A254FB" w:rsidP="00A254FB">
      <w:pPr>
        <w:jc w:val="both"/>
        <w:rPr>
          <w:b/>
        </w:rPr>
      </w:pPr>
      <w:r w:rsidRPr="00BF1D7C">
        <w:rPr>
          <w:b/>
        </w:rPr>
        <w:t>Procedure:</w:t>
      </w:r>
    </w:p>
    <w:p w:rsidR="00A254FB" w:rsidRPr="00BF1D7C" w:rsidRDefault="00A254FB" w:rsidP="00A254FB">
      <w:pPr>
        <w:numPr>
          <w:ilvl w:val="0"/>
          <w:numId w:val="47"/>
        </w:numPr>
        <w:jc w:val="both"/>
        <w:rPr>
          <w:bCs/>
        </w:rPr>
      </w:pPr>
      <w:r w:rsidRPr="00BF1D7C">
        <w:rPr>
          <w:bCs/>
        </w:rPr>
        <w:t>Utilization Review Committee:</w:t>
      </w:r>
    </w:p>
    <w:p w:rsidR="00A254FB" w:rsidRPr="00BF1D7C" w:rsidRDefault="00A254FB" w:rsidP="00A254FB">
      <w:pPr>
        <w:numPr>
          <w:ilvl w:val="1"/>
          <w:numId w:val="47"/>
        </w:numPr>
        <w:jc w:val="both"/>
      </w:pPr>
      <w:r w:rsidRPr="00BF1D7C">
        <w:t>The Utilization Review Committee is a standing subcommittee of the Medical Staff Executive Committee.</w:t>
      </w:r>
    </w:p>
    <w:p w:rsidR="00A254FB" w:rsidRPr="00BF1D7C" w:rsidRDefault="00A254FB" w:rsidP="00A254FB">
      <w:pPr>
        <w:numPr>
          <w:ilvl w:val="1"/>
          <w:numId w:val="47"/>
        </w:numPr>
        <w:jc w:val="both"/>
      </w:pPr>
      <w:r w:rsidRPr="00BF1D7C">
        <w:t xml:space="preserve">Per the CMS </w:t>
      </w:r>
      <w:r w:rsidR="00817B0A">
        <w:t xml:space="preserve">Hospital </w:t>
      </w:r>
      <w:r w:rsidRPr="00BF1D7C">
        <w:t xml:space="preserve">Conditions of Participation, the UR Committee must consist of two or more practitioners who are MD’s or DO’s.  A quorum of one physician member must be present at each meeting.  </w:t>
      </w:r>
    </w:p>
    <w:p w:rsidR="00A254FB" w:rsidRPr="00BF1D7C" w:rsidRDefault="00A254FB" w:rsidP="00A254FB">
      <w:pPr>
        <w:numPr>
          <w:ilvl w:val="1"/>
          <w:numId w:val="47"/>
        </w:numPr>
        <w:jc w:val="both"/>
      </w:pPr>
      <w:r w:rsidRPr="00BF1D7C">
        <w:t>Non-physician members may include the Chief Executive Officer, Quality</w:t>
      </w:r>
      <w:r w:rsidR="00B40F96">
        <w:t>/</w:t>
      </w:r>
      <w:r w:rsidRPr="00BF1D7C">
        <w:t>Risk</w:t>
      </w:r>
      <w:r w:rsidR="00B40F96">
        <w:t xml:space="preserve"> </w:t>
      </w:r>
      <w:r w:rsidRPr="00BF1D7C">
        <w:t>Manage</w:t>
      </w:r>
      <w:r w:rsidR="00B40F96">
        <w:t>ment/UR Coordinator</w:t>
      </w:r>
      <w:r w:rsidRPr="00BF1D7C">
        <w:t xml:space="preserve">, Utilization Review Staff, </w:t>
      </w:r>
      <w:r w:rsidR="004F5DD2">
        <w:t xml:space="preserve">Chief </w:t>
      </w:r>
      <w:r w:rsidRPr="00BF1D7C">
        <w:t xml:space="preserve">Nursing </w:t>
      </w:r>
      <w:r w:rsidR="004F5DD2">
        <w:t>Officer</w:t>
      </w:r>
      <w:r w:rsidRPr="00BF1D7C">
        <w:t xml:space="preserve">, Health Information Manager, and Patient Financial Services Manager.  </w:t>
      </w:r>
    </w:p>
    <w:p w:rsidR="00A254FB" w:rsidRPr="00BF1D7C" w:rsidRDefault="00A254FB" w:rsidP="00A254FB">
      <w:pPr>
        <w:numPr>
          <w:ilvl w:val="1"/>
          <w:numId w:val="47"/>
        </w:numPr>
        <w:jc w:val="both"/>
      </w:pPr>
      <w:r w:rsidRPr="00BF1D7C">
        <w:t xml:space="preserve">The UR Committee’s reviews may not be conducted by any individual who has a direct financial interest in the </w:t>
      </w:r>
      <w:r>
        <w:t>Medical Center</w:t>
      </w:r>
      <w:r w:rsidRPr="00BF1D7C">
        <w:t xml:space="preserve">, or ownership, and no physician </w:t>
      </w:r>
      <w:r w:rsidR="00B40F96">
        <w:t>should</w:t>
      </w:r>
      <w:r w:rsidRPr="00BF1D7C">
        <w:t xml:space="preserve"> participate in the review of a case in which he or she is professionally involved.</w:t>
      </w:r>
    </w:p>
    <w:p w:rsidR="00A254FB" w:rsidRPr="00BF1D7C" w:rsidRDefault="00A254FB" w:rsidP="00A254FB">
      <w:pPr>
        <w:numPr>
          <w:ilvl w:val="1"/>
          <w:numId w:val="47"/>
        </w:numPr>
        <w:tabs>
          <w:tab w:val="left" w:pos="-1440"/>
        </w:tabs>
        <w:jc w:val="both"/>
      </w:pPr>
      <w:r w:rsidRPr="00BF1D7C">
        <w:t xml:space="preserve">The committee should ensure that the procedures for the review of medical necessity of admissions to the </w:t>
      </w:r>
      <w:r>
        <w:t>Medical Center</w:t>
      </w:r>
      <w:r w:rsidRPr="00BF1D7C">
        <w:t>, the appropriateness of the setting, the medical necessity of extended stays, and the medical necessity of professional services are accomplished.</w:t>
      </w:r>
    </w:p>
    <w:p w:rsidR="00A254FB" w:rsidRDefault="00A254FB" w:rsidP="00A254FB">
      <w:pPr>
        <w:numPr>
          <w:ilvl w:val="1"/>
          <w:numId w:val="47"/>
        </w:numPr>
        <w:tabs>
          <w:tab w:val="left" w:pos="-1440"/>
        </w:tabs>
        <w:jc w:val="both"/>
      </w:pPr>
      <w:r w:rsidRPr="00BF1D7C">
        <w:t>The Committee should meet at least quarterly and maintain minutes.</w:t>
      </w:r>
    </w:p>
    <w:p w:rsidR="00A254FB" w:rsidRPr="00A254FB" w:rsidRDefault="00A254FB" w:rsidP="00A254FB">
      <w:pPr>
        <w:tabs>
          <w:tab w:val="left" w:pos="-1440"/>
        </w:tabs>
        <w:ind w:left="720"/>
        <w:jc w:val="both"/>
      </w:pPr>
    </w:p>
    <w:p w:rsidR="00A254FB" w:rsidRPr="00BF1D7C" w:rsidRDefault="00A254FB" w:rsidP="00A254FB">
      <w:pPr>
        <w:numPr>
          <w:ilvl w:val="0"/>
          <w:numId w:val="47"/>
        </w:numPr>
        <w:jc w:val="both"/>
      </w:pPr>
      <w:r w:rsidRPr="00BF1D7C">
        <w:t>Scope and Frequency of Review:</w:t>
      </w:r>
    </w:p>
    <w:p w:rsidR="00A254FB" w:rsidRDefault="00A254FB" w:rsidP="00A254FB">
      <w:pPr>
        <w:ind w:left="504"/>
        <w:jc w:val="both"/>
      </w:pPr>
      <w:r w:rsidRPr="00BF1D7C">
        <w:t xml:space="preserve">UR staff will review all Inpatient, Outpatient Observation, and Swing Bed medical records daily to determine medical necessity of admissions to the </w:t>
      </w:r>
      <w:r>
        <w:t>Medical Center</w:t>
      </w:r>
      <w:r w:rsidRPr="00BF1D7C">
        <w:t>, duration of stays, and professional services furnished, including drugs and biological</w:t>
      </w:r>
      <w:r w:rsidR="00817B0A">
        <w:t>s</w:t>
      </w:r>
      <w:r w:rsidRPr="00BF1D7C">
        <w:t>.</w:t>
      </w:r>
    </w:p>
    <w:p w:rsidR="00A254FB" w:rsidRPr="00A254FB" w:rsidRDefault="00A254FB" w:rsidP="00A254FB">
      <w:pPr>
        <w:ind w:left="360"/>
        <w:jc w:val="both"/>
      </w:pPr>
    </w:p>
    <w:p w:rsidR="00A254FB" w:rsidRPr="00BF1D7C" w:rsidRDefault="00A254FB" w:rsidP="00A254FB">
      <w:pPr>
        <w:numPr>
          <w:ilvl w:val="0"/>
          <w:numId w:val="47"/>
        </w:numPr>
        <w:jc w:val="both"/>
      </w:pPr>
      <w:r w:rsidRPr="00BF1D7C">
        <w:t>Determination Regarding Admissions or Continued Stays:</w:t>
      </w:r>
    </w:p>
    <w:p w:rsidR="00A254FB" w:rsidRPr="00BF1D7C" w:rsidRDefault="00A254FB" w:rsidP="00A254FB">
      <w:pPr>
        <w:numPr>
          <w:ilvl w:val="1"/>
          <w:numId w:val="47"/>
        </w:numPr>
        <w:jc w:val="both"/>
      </w:pPr>
      <w:r w:rsidRPr="00BF1D7C">
        <w:lastRenderedPageBreak/>
        <w:t xml:space="preserve">UR staff will use Medicare policies and McKesson InterQual Guidelines® as criteria for making a determination of medical necessity.  </w:t>
      </w:r>
    </w:p>
    <w:p w:rsidR="00A254FB" w:rsidRPr="00BF1D7C" w:rsidRDefault="00A254FB" w:rsidP="00A254FB">
      <w:pPr>
        <w:numPr>
          <w:ilvl w:val="1"/>
          <w:numId w:val="47"/>
        </w:numPr>
        <w:tabs>
          <w:tab w:val="left" w:pos="-1440"/>
        </w:tabs>
        <w:jc w:val="both"/>
      </w:pPr>
      <w:r w:rsidRPr="00BF1D7C">
        <w:t xml:space="preserve"> If the UR staff cannot determine medical necessity based on the documentation in the medical record, the practitioner(s) responsible for the care of the patient will be asked to document additional information to justify medical necessity.  If additional documentation is not provided or still does not meet criteria, the UR staff will refer the case to a physician member of the UR Committee for review.</w:t>
      </w:r>
    </w:p>
    <w:p w:rsidR="00A254FB" w:rsidRDefault="00A254FB" w:rsidP="00A254FB">
      <w:pPr>
        <w:numPr>
          <w:ilvl w:val="1"/>
          <w:numId w:val="47"/>
        </w:numPr>
        <w:tabs>
          <w:tab w:val="left" w:pos="-1440"/>
        </w:tabs>
        <w:jc w:val="both"/>
      </w:pPr>
      <w:r w:rsidRPr="00BF1D7C">
        <w:t>The determination that an admission or continued stay is not medically necessary may be made by one physician member of the UR Committee if the practitioner(s) responsible for the care of the patient concur with the determination or fail to present their views when afforded the opportunity.  In all other cases, the determination must be made by at least two physician members of the UR Committee.</w:t>
      </w:r>
    </w:p>
    <w:p w:rsidR="00A254FB" w:rsidRPr="00BF1D7C" w:rsidRDefault="00A254FB" w:rsidP="00A254FB">
      <w:pPr>
        <w:tabs>
          <w:tab w:val="left" w:pos="-1440"/>
        </w:tabs>
        <w:ind w:left="936"/>
        <w:jc w:val="both"/>
      </w:pPr>
      <w:r w:rsidRPr="00BF1D7C">
        <w:t>In the event that one of the UR Committee physicians is the practitioner responsible for the care of the patient, the Chairperson of the appropriate committee or the Chief of Staff will serve as the second physician.</w:t>
      </w:r>
    </w:p>
    <w:p w:rsidR="00A254FB" w:rsidRPr="00BF1D7C" w:rsidRDefault="00A254FB" w:rsidP="00A254FB">
      <w:pPr>
        <w:numPr>
          <w:ilvl w:val="1"/>
          <w:numId w:val="47"/>
        </w:numPr>
        <w:tabs>
          <w:tab w:val="left" w:pos="-1440"/>
        </w:tabs>
        <w:jc w:val="both"/>
      </w:pPr>
      <w:r w:rsidRPr="00BF1D7C">
        <w:t>Before making a determination that an admission or continued stay is not medically necessary, the UR Committee must consult the practitioner(s) responsible for the care of the patient and afford the practitioner(s) the opportunity to present their views.</w:t>
      </w:r>
    </w:p>
    <w:p w:rsidR="00A254FB" w:rsidRPr="00BF1D7C" w:rsidRDefault="00A254FB" w:rsidP="00A254FB">
      <w:pPr>
        <w:numPr>
          <w:ilvl w:val="1"/>
          <w:numId w:val="47"/>
        </w:numPr>
        <w:tabs>
          <w:tab w:val="left" w:pos="-1440"/>
        </w:tabs>
        <w:jc w:val="both"/>
      </w:pPr>
      <w:r w:rsidRPr="00BF1D7C">
        <w:t xml:space="preserve">If the UR Committee physician decides that admission to or continued stay in the </w:t>
      </w:r>
      <w:r>
        <w:t>Medical Center</w:t>
      </w:r>
      <w:r w:rsidRPr="00BF1D7C">
        <w:t xml:space="preserve"> is not medically necessary, written notification must be given, no later than 2 days after the determination, to the </w:t>
      </w:r>
      <w:r w:rsidR="004F5DD2">
        <w:t>Medical Center’s Patient Financial Services Department</w:t>
      </w:r>
      <w:r w:rsidRPr="00BF1D7C">
        <w:t xml:space="preserve">,  the patient (or next of kin), and the practitioner(s) responsible for the care of the patient.  . Patient notice will follow the Medicare Beneficiary Hospital Issued Notice of Non-Coverage (HINN).  </w:t>
      </w:r>
      <w:hyperlink r:id="rId12" w:history="1">
        <w:r w:rsidRPr="00BF1D7C">
          <w:rPr>
            <w:rStyle w:val="Hyperlink"/>
          </w:rPr>
          <w:t>http://www.cms.hhs.gov/bni/</w:t>
        </w:r>
      </w:hyperlink>
    </w:p>
    <w:p w:rsidR="00A254FB" w:rsidRPr="00BF1D7C" w:rsidRDefault="00A254FB" w:rsidP="00A254FB">
      <w:pPr>
        <w:numPr>
          <w:ilvl w:val="1"/>
          <w:numId w:val="47"/>
        </w:numPr>
        <w:tabs>
          <w:tab w:val="left" w:pos="-1440"/>
        </w:tabs>
        <w:jc w:val="both"/>
      </w:pPr>
      <w:r w:rsidRPr="00BF1D7C">
        <w:t>In no case may a non-physician make a final determination that a patient’s stay is not medically necessary or appropriate.</w:t>
      </w:r>
    </w:p>
    <w:p w:rsidR="00A254FB" w:rsidRPr="00BF1D7C" w:rsidRDefault="00A254FB" w:rsidP="00A254FB">
      <w:pPr>
        <w:numPr>
          <w:ilvl w:val="1"/>
          <w:numId w:val="47"/>
        </w:numPr>
        <w:tabs>
          <w:tab w:val="left" w:pos="-1440"/>
        </w:tabs>
        <w:jc w:val="both"/>
      </w:pPr>
      <w:r w:rsidRPr="00BF1D7C">
        <w:t xml:space="preserve">In making a medical necessity determination, the physician reviewer(s) will consider the following: the decision to admit a patient is a complex medical judgment which can be made only after the physician has considered a number of factors, including the patient's medical history and current medical needs, the types of facilities available to inpatients and to outpatients, the </w:t>
      </w:r>
      <w:r>
        <w:t>Medical Center</w:t>
      </w:r>
      <w:r w:rsidRPr="00BF1D7C">
        <w:t xml:space="preserve">'s bylaws and admissions policies, and the relative appropriateness of treatment in the </w:t>
      </w:r>
      <w:r>
        <w:t>Medical Center</w:t>
      </w:r>
      <w:r w:rsidRPr="00BF1D7C">
        <w:t xml:space="preserve"> setting. Other factors to be considered when making the decision to admit include such things as:</w:t>
      </w:r>
    </w:p>
    <w:p w:rsidR="00A254FB" w:rsidRPr="00BF1D7C" w:rsidRDefault="00A254FB" w:rsidP="00A254FB">
      <w:pPr>
        <w:numPr>
          <w:ilvl w:val="2"/>
          <w:numId w:val="47"/>
        </w:numPr>
        <w:tabs>
          <w:tab w:val="left" w:pos="-1440"/>
        </w:tabs>
        <w:jc w:val="both"/>
      </w:pPr>
      <w:r w:rsidRPr="00BF1D7C">
        <w:t>The severity of the signs and symptoms exhibited by the patient;</w:t>
      </w:r>
    </w:p>
    <w:p w:rsidR="00A254FB" w:rsidRPr="00BF1D7C" w:rsidRDefault="00A254FB" w:rsidP="00A254FB">
      <w:pPr>
        <w:numPr>
          <w:ilvl w:val="2"/>
          <w:numId w:val="47"/>
        </w:numPr>
        <w:tabs>
          <w:tab w:val="left" w:pos="-1440"/>
        </w:tabs>
        <w:jc w:val="both"/>
      </w:pPr>
      <w:r w:rsidRPr="00BF1D7C">
        <w:t>The medical predictability of something adverse happening to the patient;</w:t>
      </w:r>
    </w:p>
    <w:p w:rsidR="00A254FB" w:rsidRPr="00BF1D7C" w:rsidRDefault="00A254FB" w:rsidP="00A254FB">
      <w:pPr>
        <w:numPr>
          <w:ilvl w:val="2"/>
          <w:numId w:val="47"/>
        </w:numPr>
        <w:tabs>
          <w:tab w:val="left" w:pos="-1440"/>
        </w:tabs>
        <w:jc w:val="both"/>
      </w:pPr>
      <w:r w:rsidRPr="00BF1D7C">
        <w:t xml:space="preserve">The need for diagnostic studies that appropriately are outpatient services (i.e., their performance does not ordinarily require the patient to remain at the </w:t>
      </w:r>
      <w:r>
        <w:t>Medical Center</w:t>
      </w:r>
      <w:r w:rsidRPr="00BF1D7C">
        <w:t xml:space="preserve"> for 24 hours or more) to assist in assessing whether the patient should be admitted; and</w:t>
      </w:r>
    </w:p>
    <w:p w:rsidR="00A254FB" w:rsidRPr="00BF1D7C" w:rsidRDefault="00A254FB" w:rsidP="00A254FB">
      <w:pPr>
        <w:numPr>
          <w:ilvl w:val="2"/>
          <w:numId w:val="47"/>
        </w:numPr>
        <w:tabs>
          <w:tab w:val="left" w:pos="-1440"/>
        </w:tabs>
        <w:jc w:val="both"/>
      </w:pPr>
      <w:r w:rsidRPr="00BF1D7C">
        <w:t>The availability of diagnostic procedures at the time when and at the location where the patient presents.</w:t>
      </w:r>
    </w:p>
    <w:p w:rsidR="00A254FB" w:rsidRDefault="00A254FB" w:rsidP="00A254FB">
      <w:pPr>
        <w:numPr>
          <w:ilvl w:val="1"/>
          <w:numId w:val="47"/>
        </w:numPr>
        <w:tabs>
          <w:tab w:val="left" w:pos="-1440"/>
        </w:tabs>
        <w:jc w:val="both"/>
      </w:pPr>
      <w:r w:rsidRPr="00BF1D7C">
        <w:t xml:space="preserve">The UR Committee determination will be documented in the patient’s medical record by the reviewing physician(s). </w:t>
      </w:r>
    </w:p>
    <w:p w:rsidR="00A254FB" w:rsidRPr="00A254FB" w:rsidRDefault="00A254FB" w:rsidP="00A254FB">
      <w:pPr>
        <w:tabs>
          <w:tab w:val="left" w:pos="-1440"/>
        </w:tabs>
        <w:ind w:left="720"/>
        <w:jc w:val="both"/>
      </w:pPr>
    </w:p>
    <w:p w:rsidR="00A254FB" w:rsidRPr="00BF1D7C" w:rsidRDefault="00A254FB" w:rsidP="00A254FB">
      <w:pPr>
        <w:numPr>
          <w:ilvl w:val="0"/>
          <w:numId w:val="47"/>
        </w:numPr>
        <w:tabs>
          <w:tab w:val="left" w:pos="-1440"/>
        </w:tabs>
        <w:jc w:val="both"/>
      </w:pPr>
      <w:r w:rsidRPr="00BF1D7C">
        <w:t>Extended Stay Review:</w:t>
      </w:r>
    </w:p>
    <w:p w:rsidR="00A254FB" w:rsidRPr="00BF1D7C" w:rsidRDefault="00A254FB" w:rsidP="00A254FB">
      <w:pPr>
        <w:numPr>
          <w:ilvl w:val="1"/>
          <w:numId w:val="47"/>
        </w:numPr>
        <w:tabs>
          <w:tab w:val="left" w:pos="-1440"/>
        </w:tabs>
        <w:jc w:val="both"/>
      </w:pPr>
      <w:r w:rsidRPr="00BF1D7C">
        <w:t xml:space="preserve">Critical Access Hospitals are required to have an inpatient </w:t>
      </w:r>
      <w:r w:rsidR="002A1E50">
        <w:t xml:space="preserve">annual </w:t>
      </w:r>
      <w:r w:rsidRPr="00BF1D7C">
        <w:t xml:space="preserve">average length of stay no greater than 96 hours (4 days).  </w:t>
      </w:r>
      <w:r w:rsidR="002A1E50">
        <w:t>The quarterly average length of inpatient stay report should be reviewed by the UR Committee at their regularly scheduled meetings.</w:t>
      </w:r>
    </w:p>
    <w:p w:rsidR="00A254FB" w:rsidRPr="00BF1D7C" w:rsidRDefault="00A254FB" w:rsidP="00A254FB">
      <w:pPr>
        <w:numPr>
          <w:ilvl w:val="1"/>
          <w:numId w:val="47"/>
        </w:numPr>
        <w:tabs>
          <w:tab w:val="left" w:pos="-1440"/>
        </w:tabs>
        <w:jc w:val="both"/>
      </w:pPr>
      <w:r w:rsidRPr="00BF1D7C">
        <w:t xml:space="preserve">UR/Discharge Planning staff should </w:t>
      </w:r>
      <w:r>
        <w:t xml:space="preserve">attend the interdisciplinary hospitalist huddles.  </w:t>
      </w:r>
    </w:p>
    <w:p w:rsidR="00A254FB" w:rsidRPr="00BF1D7C" w:rsidRDefault="00A254FB" w:rsidP="00A254FB">
      <w:pPr>
        <w:numPr>
          <w:ilvl w:val="1"/>
          <w:numId w:val="47"/>
        </w:numPr>
        <w:tabs>
          <w:tab w:val="left" w:pos="-1440"/>
        </w:tabs>
        <w:jc w:val="both"/>
      </w:pPr>
      <w:r>
        <w:t>For patients with an extended stay, t</w:t>
      </w:r>
      <w:r w:rsidRPr="00BF1D7C">
        <w:t xml:space="preserve">he </w:t>
      </w:r>
      <w:r>
        <w:t>huddles should</w:t>
      </w:r>
      <w:r w:rsidRPr="00BF1D7C">
        <w:t xml:space="preserve"> address the reasons for continued hospitalization, estimated time the patient will need to remain in the </w:t>
      </w:r>
      <w:r>
        <w:t>Medical Center</w:t>
      </w:r>
      <w:r w:rsidRPr="00BF1D7C">
        <w:t>, and plans for post-</w:t>
      </w:r>
      <w:r>
        <w:t>Medical Center</w:t>
      </w:r>
      <w:r w:rsidRPr="00BF1D7C">
        <w:t xml:space="preserve"> care.</w:t>
      </w:r>
    </w:p>
    <w:p w:rsidR="00A254FB" w:rsidRDefault="00A254FB" w:rsidP="00A254FB">
      <w:pPr>
        <w:numPr>
          <w:ilvl w:val="1"/>
          <w:numId w:val="47"/>
        </w:numPr>
        <w:tabs>
          <w:tab w:val="left" w:pos="-1440"/>
        </w:tabs>
        <w:jc w:val="both"/>
      </w:pPr>
      <w:r>
        <w:t>The percentage of i</w:t>
      </w:r>
      <w:r w:rsidRPr="00BF1D7C">
        <w:t xml:space="preserve">npatient </w:t>
      </w:r>
      <w:r>
        <w:t>Medical Center</w:t>
      </w:r>
      <w:r w:rsidRPr="00BF1D7C">
        <w:t xml:space="preserve"> stays greater than 7 days </w:t>
      </w:r>
      <w:r w:rsidR="002A1E50">
        <w:t>should</w:t>
      </w:r>
      <w:r w:rsidRPr="00BF1D7C">
        <w:t xml:space="preserve"> be reviewed by the UR Committee</w:t>
      </w:r>
      <w:r w:rsidR="002A1E50">
        <w:t xml:space="preserve"> at their regularly scheduled meetings.</w:t>
      </w:r>
    </w:p>
    <w:p w:rsidR="00A254FB" w:rsidRPr="00A254FB" w:rsidRDefault="00A254FB" w:rsidP="00A254FB">
      <w:pPr>
        <w:tabs>
          <w:tab w:val="left" w:pos="-1440"/>
        </w:tabs>
        <w:ind w:left="720"/>
        <w:jc w:val="both"/>
      </w:pPr>
    </w:p>
    <w:p w:rsidR="00A254FB" w:rsidRPr="00BF1D7C" w:rsidRDefault="00A254FB" w:rsidP="00A254FB">
      <w:pPr>
        <w:numPr>
          <w:ilvl w:val="0"/>
          <w:numId w:val="47"/>
        </w:numPr>
        <w:tabs>
          <w:tab w:val="left" w:pos="-1440"/>
        </w:tabs>
        <w:jc w:val="both"/>
      </w:pPr>
      <w:r w:rsidRPr="00BF1D7C">
        <w:t>Performance Improvement:</w:t>
      </w:r>
    </w:p>
    <w:p w:rsidR="00A254FB" w:rsidRPr="00BF1D7C" w:rsidRDefault="00A254FB" w:rsidP="00A254FB">
      <w:pPr>
        <w:numPr>
          <w:ilvl w:val="1"/>
          <w:numId w:val="47"/>
        </w:numPr>
        <w:tabs>
          <w:tab w:val="left" w:pos="-1440"/>
        </w:tabs>
        <w:jc w:val="both"/>
      </w:pPr>
      <w:r w:rsidRPr="00BF1D7C">
        <w:t>The following data may be presented to the UR Committee for review:</w:t>
      </w:r>
    </w:p>
    <w:p w:rsidR="00A254FB" w:rsidRPr="00BF1D7C" w:rsidRDefault="00A254FB" w:rsidP="00A254FB">
      <w:pPr>
        <w:numPr>
          <w:ilvl w:val="2"/>
          <w:numId w:val="47"/>
        </w:numPr>
        <w:tabs>
          <w:tab w:val="left" w:pos="-1440"/>
          <w:tab w:val="left" w:pos="1080"/>
        </w:tabs>
        <w:jc w:val="both"/>
      </w:pPr>
      <w:r w:rsidRPr="00BF1D7C">
        <w:t xml:space="preserve">Inpatient, swing bed, and observation payment </w:t>
      </w:r>
      <w:r w:rsidR="00B40F96">
        <w:t xml:space="preserve">medical necessity </w:t>
      </w:r>
      <w:r w:rsidRPr="00BF1D7C">
        <w:t>denials</w:t>
      </w:r>
      <w:r w:rsidR="004F5DD2">
        <w:t xml:space="preserve"> and appeals</w:t>
      </w:r>
    </w:p>
    <w:p w:rsidR="00A254FB" w:rsidRPr="00BF1D7C" w:rsidRDefault="00A254FB" w:rsidP="00A254FB">
      <w:pPr>
        <w:numPr>
          <w:ilvl w:val="2"/>
          <w:numId w:val="47"/>
        </w:numPr>
        <w:tabs>
          <w:tab w:val="left" w:pos="-1440"/>
          <w:tab w:val="left" w:pos="1080"/>
        </w:tabs>
        <w:jc w:val="both"/>
      </w:pPr>
      <w:r w:rsidRPr="00BF1D7C">
        <w:t>Non-billable observation hours</w:t>
      </w:r>
    </w:p>
    <w:p w:rsidR="00A55587" w:rsidRDefault="00A254FB">
      <w:pPr>
        <w:numPr>
          <w:ilvl w:val="2"/>
          <w:numId w:val="47"/>
        </w:numPr>
        <w:tabs>
          <w:tab w:val="left" w:pos="-1440"/>
          <w:tab w:val="left" w:pos="1080"/>
        </w:tabs>
        <w:jc w:val="both"/>
      </w:pPr>
      <w:r w:rsidRPr="00BF1D7C">
        <w:t>Potentially avoidable days</w:t>
      </w:r>
      <w:r w:rsidR="001C237A" w:rsidRPr="001C237A">
        <w:t xml:space="preserve"> </w:t>
      </w:r>
    </w:p>
    <w:p w:rsidR="00A254FB" w:rsidRPr="00BF1D7C" w:rsidRDefault="00A254FB" w:rsidP="00A254FB">
      <w:pPr>
        <w:numPr>
          <w:ilvl w:val="2"/>
          <w:numId w:val="47"/>
        </w:numPr>
        <w:tabs>
          <w:tab w:val="left" w:pos="-1440"/>
          <w:tab w:val="left" w:pos="1080"/>
        </w:tabs>
        <w:jc w:val="both"/>
      </w:pPr>
      <w:r w:rsidRPr="00BF1D7C">
        <w:t>One-day inpatient stays</w:t>
      </w:r>
    </w:p>
    <w:p w:rsidR="00A254FB" w:rsidRPr="00BF1D7C" w:rsidRDefault="00A254FB" w:rsidP="00A254FB">
      <w:pPr>
        <w:numPr>
          <w:ilvl w:val="2"/>
          <w:numId w:val="47"/>
        </w:numPr>
        <w:tabs>
          <w:tab w:val="left" w:pos="-1440"/>
          <w:tab w:val="left" w:pos="1080"/>
        </w:tabs>
        <w:jc w:val="both"/>
      </w:pPr>
      <w:r w:rsidRPr="00BF1D7C">
        <w:t>Inpatient stays greater than seven days</w:t>
      </w:r>
    </w:p>
    <w:p w:rsidR="00A254FB" w:rsidRDefault="00A254FB" w:rsidP="00A254FB">
      <w:pPr>
        <w:numPr>
          <w:ilvl w:val="2"/>
          <w:numId w:val="47"/>
        </w:numPr>
        <w:tabs>
          <w:tab w:val="left" w:pos="-1440"/>
          <w:tab w:val="left" w:pos="1080"/>
        </w:tabs>
        <w:jc w:val="both"/>
      </w:pPr>
      <w:r w:rsidRPr="00BF1D7C">
        <w:t>Three-day stays prior to swing bed or admission to an extended care facility</w:t>
      </w:r>
    </w:p>
    <w:p w:rsidR="002A1E50" w:rsidRDefault="002A1E50" w:rsidP="00A254FB">
      <w:pPr>
        <w:numPr>
          <w:ilvl w:val="2"/>
          <w:numId w:val="47"/>
        </w:numPr>
        <w:tabs>
          <w:tab w:val="left" w:pos="-1440"/>
          <w:tab w:val="left" w:pos="1080"/>
        </w:tabs>
        <w:jc w:val="both"/>
      </w:pPr>
      <w:r>
        <w:t>Average length of inpatient stays</w:t>
      </w:r>
    </w:p>
    <w:p w:rsidR="00622F4E" w:rsidRDefault="001C237A" w:rsidP="00A254FB">
      <w:pPr>
        <w:numPr>
          <w:ilvl w:val="2"/>
          <w:numId w:val="47"/>
        </w:numPr>
        <w:tabs>
          <w:tab w:val="left" w:pos="-1440"/>
          <w:tab w:val="left" w:pos="1080"/>
        </w:tabs>
        <w:jc w:val="both"/>
      </w:pPr>
      <w:r>
        <w:t>Readmission rates</w:t>
      </w:r>
    </w:p>
    <w:p w:rsidR="00A254FB" w:rsidRPr="00BF1D7C" w:rsidRDefault="00A254FB" w:rsidP="00A254FB">
      <w:pPr>
        <w:numPr>
          <w:ilvl w:val="2"/>
          <w:numId w:val="47"/>
        </w:numPr>
        <w:tabs>
          <w:tab w:val="left" w:pos="-1440"/>
          <w:tab w:val="left" w:pos="1080"/>
        </w:tabs>
        <w:jc w:val="both"/>
      </w:pPr>
      <w:r w:rsidRPr="00BF1D7C">
        <w:t xml:space="preserve">Other pertinent data </w:t>
      </w:r>
    </w:p>
    <w:p w:rsidR="00A254FB" w:rsidRDefault="00A254FB" w:rsidP="00A254FB">
      <w:pPr>
        <w:numPr>
          <w:ilvl w:val="1"/>
          <w:numId w:val="47"/>
        </w:numPr>
        <w:tabs>
          <w:tab w:val="left" w:pos="-1440"/>
        </w:tabs>
        <w:jc w:val="both"/>
      </w:pPr>
      <w:r w:rsidRPr="00BF1D7C">
        <w:t xml:space="preserve">The committee </w:t>
      </w:r>
      <w:r w:rsidR="001C237A">
        <w:t>should</w:t>
      </w:r>
      <w:r w:rsidRPr="00BF1D7C">
        <w:t xml:space="preserve"> suggest practitioner educational topics regarding clinical documentation and other UR-related issues for presentation to the general Medical Staff.</w:t>
      </w:r>
    </w:p>
    <w:p w:rsidR="00A254FB" w:rsidRPr="00A254FB" w:rsidRDefault="00A254FB" w:rsidP="00A254FB">
      <w:pPr>
        <w:tabs>
          <w:tab w:val="left" w:pos="-1440"/>
        </w:tabs>
        <w:ind w:left="720"/>
        <w:jc w:val="both"/>
      </w:pPr>
    </w:p>
    <w:p w:rsidR="00A254FB" w:rsidRPr="00BF1D7C" w:rsidRDefault="00A254FB" w:rsidP="00A254FB">
      <w:pPr>
        <w:numPr>
          <w:ilvl w:val="0"/>
          <w:numId w:val="47"/>
        </w:numPr>
        <w:jc w:val="both"/>
      </w:pPr>
      <w:r w:rsidRPr="00BF1D7C">
        <w:rPr>
          <w:bCs/>
        </w:rPr>
        <w:t>Confidentiality:</w:t>
      </w:r>
    </w:p>
    <w:p w:rsidR="00A254FB" w:rsidRPr="00BF1D7C" w:rsidRDefault="00A254FB" w:rsidP="00A254FB">
      <w:pPr>
        <w:numPr>
          <w:ilvl w:val="1"/>
          <w:numId w:val="47"/>
        </w:numPr>
        <w:jc w:val="both"/>
      </w:pPr>
      <w:r w:rsidRPr="00BF1D7C">
        <w:t>All findings of the UR Committee discovered in their routine course of business shall be deemed confidential (Montana Code Annotated 50-16-201, 202, 203, 204, and 205) and shall not be made available to any internal source except those responsible for participating in the implementation and review of the UR Plan and the Medical Staff Executive Committee.</w:t>
      </w:r>
    </w:p>
    <w:p w:rsidR="00A254FB" w:rsidRPr="00BF1D7C" w:rsidRDefault="00A254FB" w:rsidP="00A254FB">
      <w:pPr>
        <w:numPr>
          <w:ilvl w:val="1"/>
          <w:numId w:val="47"/>
        </w:numPr>
        <w:jc w:val="both"/>
      </w:pPr>
      <w:r w:rsidRPr="00BF1D7C">
        <w:t xml:space="preserve">No external sources shall have access to the findings of the UR Committee except as required by the Fiscal Intermediary, authorized State Agencies, the Department of Health and Human Services, the Quality Improvement Organization (QIO), as appropriate, and certification/ licensure agencies in the performance of their specified duties.  </w:t>
      </w:r>
    </w:p>
    <w:p w:rsidR="00A254FB" w:rsidRDefault="00A254FB" w:rsidP="007647B4">
      <w:pPr>
        <w:rPr>
          <w:b/>
          <w:bCs/>
          <w:u w:val="single"/>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
        <w:gridCol w:w="6456"/>
        <w:gridCol w:w="270"/>
        <w:gridCol w:w="270"/>
        <w:gridCol w:w="1440"/>
        <w:gridCol w:w="1526"/>
      </w:tblGrid>
      <w:tr w:rsidR="004A17FD" w:rsidTr="004A17FD">
        <w:trPr>
          <w:trHeight w:val="386"/>
          <w:jc w:val="center"/>
        </w:trPr>
        <w:tc>
          <w:tcPr>
            <w:tcW w:w="10253" w:type="dxa"/>
            <w:gridSpan w:val="6"/>
            <w:tcBorders>
              <w:top w:val="single" w:sz="4" w:space="0" w:color="auto"/>
              <w:left w:val="single" w:sz="4" w:space="0" w:color="auto"/>
              <w:bottom w:val="nil"/>
              <w:right w:val="single" w:sz="4" w:space="0" w:color="auto"/>
            </w:tcBorders>
            <w:vAlign w:val="bottom"/>
            <w:hideMark/>
          </w:tcPr>
          <w:p w:rsidR="004A17FD" w:rsidRDefault="004A17FD">
            <w:r>
              <w:rPr>
                <w:b/>
                <w:bCs/>
              </w:rPr>
              <w:t>Rule/Cite/Tag:</w:t>
            </w:r>
            <w:r>
              <w:t xml:space="preserve">  </w:t>
            </w:r>
          </w:p>
        </w:tc>
      </w:tr>
      <w:tr w:rsidR="004A17FD" w:rsidTr="004A17FD">
        <w:trPr>
          <w:trHeight w:val="277"/>
          <w:jc w:val="center"/>
        </w:trPr>
        <w:tc>
          <w:tcPr>
            <w:tcW w:w="10253" w:type="dxa"/>
            <w:gridSpan w:val="6"/>
            <w:tcBorders>
              <w:top w:val="nil"/>
              <w:left w:val="single" w:sz="4" w:space="0" w:color="auto"/>
              <w:bottom w:val="single" w:sz="4" w:space="0" w:color="auto"/>
              <w:right w:val="single" w:sz="4" w:space="0" w:color="auto"/>
            </w:tcBorders>
            <w:vAlign w:val="bottom"/>
            <w:hideMark/>
          </w:tcPr>
          <w:p w:rsidR="00A254FB" w:rsidRPr="00BF1D7C" w:rsidRDefault="00A254FB" w:rsidP="00A254FB">
            <w:r w:rsidRPr="00BF1D7C">
              <w:t>§482.30 Medicare Conditions of Participation Standards  for Hospital Utilization Review</w:t>
            </w:r>
          </w:p>
          <w:p w:rsidR="004A17FD" w:rsidRDefault="00A254FB" w:rsidP="00A254FB">
            <w:pPr>
              <w:tabs>
                <w:tab w:val="num" w:pos="540"/>
              </w:tabs>
            </w:pPr>
            <w:r w:rsidRPr="00BF1D7C">
              <w:t>MCA 50-16-201, 202, 203, 204, and 205</w:t>
            </w:r>
          </w:p>
        </w:tc>
      </w:tr>
      <w:tr w:rsidR="004A17FD" w:rsidTr="004A17FD">
        <w:trPr>
          <w:trHeight w:val="278"/>
          <w:jc w:val="center"/>
        </w:trPr>
        <w:tc>
          <w:tcPr>
            <w:tcW w:w="10253" w:type="dxa"/>
            <w:gridSpan w:val="6"/>
            <w:tcBorders>
              <w:top w:val="single" w:sz="4" w:space="0" w:color="auto"/>
              <w:left w:val="single" w:sz="4" w:space="0" w:color="auto"/>
              <w:bottom w:val="nil"/>
              <w:right w:val="single" w:sz="4" w:space="0" w:color="auto"/>
            </w:tcBorders>
            <w:vAlign w:val="bottom"/>
            <w:hideMark/>
          </w:tcPr>
          <w:p w:rsidR="004A17FD" w:rsidRDefault="004A17FD">
            <w:r>
              <w:rPr>
                <w:b/>
                <w:bCs/>
              </w:rPr>
              <w:t xml:space="preserve">Medical Center Policy Cross Reference: </w:t>
            </w:r>
            <w:r>
              <w:t xml:space="preserve"> </w:t>
            </w:r>
          </w:p>
        </w:tc>
      </w:tr>
      <w:tr w:rsidR="004A17FD" w:rsidTr="004A17FD">
        <w:trPr>
          <w:trHeight w:val="277"/>
          <w:jc w:val="center"/>
        </w:trPr>
        <w:tc>
          <w:tcPr>
            <w:tcW w:w="10253" w:type="dxa"/>
            <w:gridSpan w:val="6"/>
            <w:tcBorders>
              <w:top w:val="nil"/>
              <w:left w:val="single" w:sz="4" w:space="0" w:color="auto"/>
              <w:bottom w:val="single" w:sz="4" w:space="0" w:color="auto"/>
              <w:right w:val="single" w:sz="4" w:space="0" w:color="auto"/>
            </w:tcBorders>
            <w:vAlign w:val="bottom"/>
          </w:tcPr>
          <w:p w:rsidR="004A17FD" w:rsidRDefault="00A254FB">
            <w:pPr>
              <w:rPr>
                <w:b/>
                <w:bCs/>
              </w:rPr>
            </w:pPr>
            <w:r w:rsidRPr="00BF1D7C">
              <w:t>(UR-002) Concurrent Utilization Review Procedure</w:t>
            </w:r>
          </w:p>
        </w:tc>
      </w:tr>
      <w:tr w:rsidR="004A17FD" w:rsidTr="004A17FD">
        <w:trPr>
          <w:trHeight w:val="278"/>
          <w:jc w:val="center"/>
        </w:trPr>
        <w:tc>
          <w:tcPr>
            <w:tcW w:w="10253" w:type="dxa"/>
            <w:gridSpan w:val="6"/>
            <w:tcBorders>
              <w:top w:val="single" w:sz="4" w:space="0" w:color="auto"/>
              <w:left w:val="single" w:sz="4" w:space="0" w:color="auto"/>
              <w:bottom w:val="nil"/>
              <w:right w:val="single" w:sz="4" w:space="0" w:color="auto"/>
            </w:tcBorders>
            <w:vAlign w:val="bottom"/>
            <w:hideMark/>
          </w:tcPr>
          <w:p w:rsidR="004A17FD" w:rsidRDefault="004A17FD">
            <w:pPr>
              <w:rPr>
                <w:b/>
                <w:bCs/>
              </w:rPr>
            </w:pPr>
            <w:r>
              <w:rPr>
                <w:b/>
              </w:rPr>
              <w:t>List Historical Policy Version Dates:</w:t>
            </w:r>
          </w:p>
        </w:tc>
      </w:tr>
      <w:tr w:rsidR="004A17FD" w:rsidTr="004A17FD">
        <w:trPr>
          <w:trHeight w:val="277"/>
          <w:jc w:val="center"/>
        </w:trPr>
        <w:tc>
          <w:tcPr>
            <w:tcW w:w="10253" w:type="dxa"/>
            <w:gridSpan w:val="6"/>
            <w:tcBorders>
              <w:top w:val="nil"/>
              <w:left w:val="single" w:sz="4" w:space="0" w:color="auto"/>
              <w:bottom w:val="single" w:sz="4" w:space="0" w:color="auto"/>
              <w:right w:val="single" w:sz="4" w:space="0" w:color="auto"/>
            </w:tcBorders>
            <w:vAlign w:val="bottom"/>
            <w:hideMark/>
          </w:tcPr>
          <w:p w:rsidR="004A17FD" w:rsidRDefault="00A254FB">
            <w:r w:rsidRPr="00BF1D7C">
              <w:t>UR Plan 08/13/01, 02/23/06</w:t>
            </w:r>
            <w:r>
              <w:t>, 01/30/12, 12/10/12</w:t>
            </w:r>
            <w:r w:rsidR="001C237A">
              <w:t>, 11/11/13</w:t>
            </w:r>
          </w:p>
        </w:tc>
      </w:tr>
      <w:tr w:rsidR="004A17FD" w:rsidTr="005B2CA1">
        <w:trPr>
          <w:trHeight w:val="674"/>
          <w:jc w:val="center"/>
        </w:trPr>
        <w:tc>
          <w:tcPr>
            <w:tcW w:w="7017" w:type="dxa"/>
            <w:gridSpan w:val="3"/>
            <w:tcBorders>
              <w:top w:val="single" w:sz="4" w:space="0" w:color="auto"/>
              <w:left w:val="single" w:sz="4" w:space="0" w:color="auto"/>
              <w:bottom w:val="nil"/>
              <w:right w:val="single" w:sz="4" w:space="0" w:color="auto"/>
            </w:tcBorders>
            <w:hideMark/>
          </w:tcPr>
          <w:p w:rsidR="004A17FD" w:rsidRDefault="004A17FD">
            <w:r>
              <w:t>Approved By:</w:t>
            </w:r>
          </w:p>
        </w:tc>
        <w:tc>
          <w:tcPr>
            <w:tcW w:w="3236" w:type="dxa"/>
            <w:gridSpan w:val="3"/>
            <w:tcBorders>
              <w:top w:val="single" w:sz="4" w:space="0" w:color="auto"/>
              <w:left w:val="single" w:sz="4" w:space="0" w:color="auto"/>
              <w:bottom w:val="nil"/>
              <w:right w:val="single" w:sz="4" w:space="0" w:color="auto"/>
            </w:tcBorders>
            <w:hideMark/>
          </w:tcPr>
          <w:p w:rsidR="004A17FD" w:rsidRDefault="004A17FD">
            <w:r>
              <w:t>Approval Date:</w:t>
            </w:r>
          </w:p>
        </w:tc>
      </w:tr>
      <w:tr w:rsidR="004A17FD" w:rsidTr="005B2CA1">
        <w:trPr>
          <w:trHeight w:val="412"/>
          <w:jc w:val="center"/>
        </w:trPr>
        <w:tc>
          <w:tcPr>
            <w:tcW w:w="291" w:type="dxa"/>
            <w:tcBorders>
              <w:top w:val="nil"/>
              <w:left w:val="single" w:sz="4" w:space="0" w:color="auto"/>
              <w:bottom w:val="nil"/>
              <w:right w:val="nil"/>
            </w:tcBorders>
            <w:vAlign w:val="bottom"/>
          </w:tcPr>
          <w:p w:rsidR="004A17FD" w:rsidRDefault="004A17FD"/>
        </w:tc>
        <w:tc>
          <w:tcPr>
            <w:tcW w:w="6456" w:type="dxa"/>
            <w:tcBorders>
              <w:top w:val="nil"/>
              <w:left w:val="nil"/>
              <w:bottom w:val="nil"/>
              <w:right w:val="nil"/>
            </w:tcBorders>
            <w:vAlign w:val="bottom"/>
            <w:hideMark/>
          </w:tcPr>
          <w:p w:rsidR="004A17FD" w:rsidRDefault="00B40F96">
            <w:pPr>
              <w:rPr>
                <w:b/>
                <w:i/>
              </w:rPr>
            </w:pPr>
            <w:r>
              <w:rPr>
                <w:b/>
                <w:i/>
              </w:rPr>
              <w:t>See Hard Copy For Signature</w:t>
            </w:r>
          </w:p>
        </w:tc>
        <w:tc>
          <w:tcPr>
            <w:tcW w:w="270" w:type="dxa"/>
            <w:tcBorders>
              <w:top w:val="nil"/>
              <w:left w:val="nil"/>
              <w:bottom w:val="nil"/>
              <w:right w:val="single" w:sz="4" w:space="0" w:color="auto"/>
            </w:tcBorders>
            <w:vAlign w:val="bottom"/>
          </w:tcPr>
          <w:p w:rsidR="004A17FD" w:rsidRDefault="004A17FD">
            <w:pPr>
              <w:rPr>
                <w:b/>
                <w:i/>
              </w:rPr>
            </w:pPr>
          </w:p>
        </w:tc>
        <w:tc>
          <w:tcPr>
            <w:tcW w:w="270" w:type="dxa"/>
            <w:tcBorders>
              <w:top w:val="nil"/>
              <w:left w:val="single" w:sz="4" w:space="0" w:color="auto"/>
              <w:bottom w:val="nil"/>
              <w:right w:val="nil"/>
            </w:tcBorders>
            <w:vAlign w:val="bottom"/>
          </w:tcPr>
          <w:p w:rsidR="004A17FD" w:rsidRDefault="004A17FD"/>
        </w:tc>
        <w:tc>
          <w:tcPr>
            <w:tcW w:w="1440" w:type="dxa"/>
            <w:tcBorders>
              <w:top w:val="nil"/>
              <w:left w:val="nil"/>
              <w:bottom w:val="single" w:sz="4" w:space="0" w:color="auto"/>
              <w:right w:val="nil"/>
            </w:tcBorders>
            <w:vAlign w:val="bottom"/>
            <w:hideMark/>
          </w:tcPr>
          <w:p w:rsidR="004A17FD" w:rsidRDefault="00B40F96" w:rsidP="009E7B03">
            <w:r>
              <w:t>0</w:t>
            </w:r>
            <w:r w:rsidR="009E7B03">
              <w:t>2/25</w:t>
            </w:r>
            <w:r>
              <w:t>/15</w:t>
            </w:r>
          </w:p>
        </w:tc>
        <w:tc>
          <w:tcPr>
            <w:tcW w:w="1526" w:type="dxa"/>
            <w:tcBorders>
              <w:top w:val="nil"/>
              <w:left w:val="nil"/>
              <w:bottom w:val="nil"/>
              <w:right w:val="single" w:sz="4" w:space="0" w:color="auto"/>
            </w:tcBorders>
            <w:vAlign w:val="bottom"/>
          </w:tcPr>
          <w:p w:rsidR="004A17FD" w:rsidRDefault="004A17FD"/>
        </w:tc>
      </w:tr>
      <w:tr w:rsidR="004A17FD" w:rsidTr="007647B4">
        <w:trPr>
          <w:trHeight w:val="584"/>
          <w:jc w:val="center"/>
        </w:trPr>
        <w:tc>
          <w:tcPr>
            <w:tcW w:w="291" w:type="dxa"/>
            <w:tcBorders>
              <w:top w:val="nil"/>
              <w:left w:val="single" w:sz="4" w:space="0" w:color="auto"/>
              <w:bottom w:val="nil"/>
              <w:right w:val="nil"/>
            </w:tcBorders>
          </w:tcPr>
          <w:p w:rsidR="004A17FD" w:rsidRDefault="004A17FD"/>
        </w:tc>
        <w:tc>
          <w:tcPr>
            <w:tcW w:w="6456" w:type="dxa"/>
            <w:tcBorders>
              <w:top w:val="single" w:sz="4" w:space="0" w:color="auto"/>
              <w:left w:val="nil"/>
              <w:bottom w:val="nil"/>
              <w:right w:val="nil"/>
            </w:tcBorders>
            <w:hideMark/>
          </w:tcPr>
          <w:p w:rsidR="00A55587" w:rsidRDefault="00234DC6">
            <w:r>
              <w:t>Barbara Dumont, RN, Quality Risk Manage</w:t>
            </w:r>
            <w:r w:rsidR="001C237A">
              <w:t>r</w:t>
            </w:r>
          </w:p>
        </w:tc>
        <w:tc>
          <w:tcPr>
            <w:tcW w:w="270" w:type="dxa"/>
            <w:tcBorders>
              <w:top w:val="nil"/>
              <w:left w:val="nil"/>
              <w:bottom w:val="nil"/>
              <w:right w:val="single" w:sz="4" w:space="0" w:color="auto"/>
            </w:tcBorders>
          </w:tcPr>
          <w:p w:rsidR="004A17FD" w:rsidRDefault="004A17FD"/>
        </w:tc>
        <w:tc>
          <w:tcPr>
            <w:tcW w:w="270" w:type="dxa"/>
            <w:tcBorders>
              <w:top w:val="nil"/>
              <w:left w:val="single" w:sz="4" w:space="0" w:color="auto"/>
              <w:bottom w:val="nil"/>
              <w:right w:val="nil"/>
            </w:tcBorders>
          </w:tcPr>
          <w:p w:rsidR="004A17FD" w:rsidRDefault="004A17FD"/>
        </w:tc>
        <w:tc>
          <w:tcPr>
            <w:tcW w:w="1440" w:type="dxa"/>
            <w:tcBorders>
              <w:top w:val="single" w:sz="4" w:space="0" w:color="auto"/>
              <w:left w:val="nil"/>
              <w:bottom w:val="nil"/>
              <w:right w:val="nil"/>
            </w:tcBorders>
          </w:tcPr>
          <w:p w:rsidR="004A17FD" w:rsidRDefault="004A17FD"/>
        </w:tc>
        <w:tc>
          <w:tcPr>
            <w:tcW w:w="1526" w:type="dxa"/>
            <w:tcBorders>
              <w:top w:val="nil"/>
              <w:left w:val="nil"/>
              <w:bottom w:val="nil"/>
              <w:right w:val="single" w:sz="4" w:space="0" w:color="auto"/>
            </w:tcBorders>
          </w:tcPr>
          <w:p w:rsidR="004A17FD" w:rsidRDefault="004A17FD"/>
        </w:tc>
      </w:tr>
      <w:tr w:rsidR="00E12F47" w:rsidTr="005B2CA1">
        <w:trPr>
          <w:trHeight w:val="412"/>
          <w:jc w:val="center"/>
        </w:trPr>
        <w:tc>
          <w:tcPr>
            <w:tcW w:w="291" w:type="dxa"/>
            <w:tcBorders>
              <w:top w:val="nil"/>
              <w:left w:val="single" w:sz="4" w:space="0" w:color="auto"/>
              <w:bottom w:val="nil"/>
              <w:right w:val="nil"/>
            </w:tcBorders>
            <w:vAlign w:val="bottom"/>
          </w:tcPr>
          <w:p w:rsidR="00E12F47" w:rsidRDefault="00E12F47"/>
        </w:tc>
        <w:tc>
          <w:tcPr>
            <w:tcW w:w="6456" w:type="dxa"/>
            <w:tcBorders>
              <w:top w:val="nil"/>
              <w:left w:val="nil"/>
              <w:bottom w:val="nil"/>
              <w:right w:val="nil"/>
            </w:tcBorders>
            <w:vAlign w:val="bottom"/>
            <w:hideMark/>
          </w:tcPr>
          <w:p w:rsidR="00E12F47" w:rsidRDefault="00B40F96">
            <w:pPr>
              <w:rPr>
                <w:b/>
                <w:i/>
              </w:rPr>
            </w:pPr>
            <w:r>
              <w:rPr>
                <w:b/>
                <w:i/>
              </w:rPr>
              <w:t>See Hard Copy For Signature</w:t>
            </w:r>
          </w:p>
        </w:tc>
        <w:tc>
          <w:tcPr>
            <w:tcW w:w="270" w:type="dxa"/>
            <w:tcBorders>
              <w:top w:val="nil"/>
              <w:left w:val="nil"/>
              <w:bottom w:val="nil"/>
              <w:right w:val="single" w:sz="4" w:space="0" w:color="auto"/>
            </w:tcBorders>
            <w:vAlign w:val="bottom"/>
          </w:tcPr>
          <w:p w:rsidR="00E12F47" w:rsidRDefault="00E12F47">
            <w:pPr>
              <w:rPr>
                <w:b/>
                <w:i/>
              </w:rPr>
            </w:pPr>
          </w:p>
        </w:tc>
        <w:tc>
          <w:tcPr>
            <w:tcW w:w="270" w:type="dxa"/>
            <w:tcBorders>
              <w:top w:val="nil"/>
              <w:left w:val="single" w:sz="4" w:space="0" w:color="auto"/>
              <w:bottom w:val="nil"/>
              <w:right w:val="nil"/>
            </w:tcBorders>
            <w:vAlign w:val="bottom"/>
          </w:tcPr>
          <w:p w:rsidR="00E12F47" w:rsidRDefault="00E12F47"/>
        </w:tc>
        <w:tc>
          <w:tcPr>
            <w:tcW w:w="1440" w:type="dxa"/>
            <w:tcBorders>
              <w:top w:val="nil"/>
              <w:left w:val="nil"/>
              <w:bottom w:val="single" w:sz="4" w:space="0" w:color="auto"/>
              <w:right w:val="nil"/>
            </w:tcBorders>
            <w:vAlign w:val="bottom"/>
            <w:hideMark/>
          </w:tcPr>
          <w:p w:rsidR="00E12F47" w:rsidRDefault="00B40F96" w:rsidP="009E7B03">
            <w:r>
              <w:t>0</w:t>
            </w:r>
            <w:r w:rsidR="009E7B03">
              <w:t>3/18</w:t>
            </w:r>
            <w:r>
              <w:t>/15</w:t>
            </w:r>
          </w:p>
        </w:tc>
        <w:tc>
          <w:tcPr>
            <w:tcW w:w="1526" w:type="dxa"/>
            <w:tcBorders>
              <w:top w:val="nil"/>
              <w:left w:val="nil"/>
              <w:bottom w:val="nil"/>
              <w:right w:val="single" w:sz="4" w:space="0" w:color="auto"/>
            </w:tcBorders>
            <w:vAlign w:val="bottom"/>
          </w:tcPr>
          <w:p w:rsidR="00E12F47" w:rsidRDefault="00E12F47"/>
        </w:tc>
      </w:tr>
      <w:tr w:rsidR="004A17FD" w:rsidTr="005B2CA1">
        <w:trPr>
          <w:trHeight w:val="566"/>
          <w:jc w:val="center"/>
        </w:trPr>
        <w:tc>
          <w:tcPr>
            <w:tcW w:w="291" w:type="dxa"/>
            <w:tcBorders>
              <w:top w:val="nil"/>
              <w:left w:val="single" w:sz="4" w:space="0" w:color="auto"/>
              <w:bottom w:val="nil"/>
              <w:right w:val="nil"/>
            </w:tcBorders>
          </w:tcPr>
          <w:p w:rsidR="004A17FD" w:rsidRDefault="004A17FD"/>
        </w:tc>
        <w:tc>
          <w:tcPr>
            <w:tcW w:w="6456" w:type="dxa"/>
            <w:tcBorders>
              <w:top w:val="single" w:sz="4" w:space="0" w:color="auto"/>
              <w:left w:val="nil"/>
              <w:bottom w:val="nil"/>
              <w:right w:val="nil"/>
            </w:tcBorders>
            <w:hideMark/>
          </w:tcPr>
          <w:p w:rsidR="00A55587" w:rsidRDefault="001C237A">
            <w:pPr>
              <w:rPr>
                <w:bCs/>
              </w:rPr>
            </w:pPr>
            <w:r>
              <w:rPr>
                <w:bCs/>
              </w:rPr>
              <w:t>Charles LaGoy</w:t>
            </w:r>
            <w:r w:rsidR="00A254FB">
              <w:rPr>
                <w:bCs/>
              </w:rPr>
              <w:t xml:space="preserve">, </w:t>
            </w:r>
            <w:r w:rsidR="003F78E9">
              <w:rPr>
                <w:bCs/>
              </w:rPr>
              <w:t>DO</w:t>
            </w:r>
            <w:r w:rsidR="00A254FB">
              <w:rPr>
                <w:bCs/>
              </w:rPr>
              <w:t>., Medical Chief of Staff</w:t>
            </w:r>
          </w:p>
        </w:tc>
        <w:tc>
          <w:tcPr>
            <w:tcW w:w="270" w:type="dxa"/>
            <w:tcBorders>
              <w:top w:val="nil"/>
              <w:left w:val="nil"/>
              <w:bottom w:val="nil"/>
              <w:right w:val="single" w:sz="4" w:space="0" w:color="auto"/>
            </w:tcBorders>
          </w:tcPr>
          <w:p w:rsidR="004A17FD" w:rsidRDefault="004A17FD"/>
        </w:tc>
        <w:tc>
          <w:tcPr>
            <w:tcW w:w="270" w:type="dxa"/>
            <w:tcBorders>
              <w:top w:val="nil"/>
              <w:left w:val="single" w:sz="4" w:space="0" w:color="auto"/>
              <w:bottom w:val="nil"/>
              <w:right w:val="nil"/>
            </w:tcBorders>
          </w:tcPr>
          <w:p w:rsidR="004A17FD" w:rsidRDefault="004A17FD"/>
        </w:tc>
        <w:tc>
          <w:tcPr>
            <w:tcW w:w="1440" w:type="dxa"/>
            <w:tcBorders>
              <w:top w:val="single" w:sz="4" w:space="0" w:color="auto"/>
              <w:left w:val="nil"/>
              <w:bottom w:val="nil"/>
              <w:right w:val="nil"/>
            </w:tcBorders>
          </w:tcPr>
          <w:p w:rsidR="004A17FD" w:rsidRDefault="004A17FD"/>
        </w:tc>
        <w:tc>
          <w:tcPr>
            <w:tcW w:w="1526" w:type="dxa"/>
            <w:tcBorders>
              <w:top w:val="nil"/>
              <w:left w:val="nil"/>
              <w:bottom w:val="nil"/>
              <w:right w:val="single" w:sz="4" w:space="0" w:color="auto"/>
            </w:tcBorders>
          </w:tcPr>
          <w:p w:rsidR="004A17FD" w:rsidRDefault="004A17FD"/>
        </w:tc>
      </w:tr>
      <w:tr w:rsidR="00E12F47" w:rsidTr="005B2CA1">
        <w:trPr>
          <w:trHeight w:val="412"/>
          <w:jc w:val="center"/>
        </w:trPr>
        <w:tc>
          <w:tcPr>
            <w:tcW w:w="291" w:type="dxa"/>
            <w:tcBorders>
              <w:top w:val="nil"/>
              <w:left w:val="single" w:sz="4" w:space="0" w:color="auto"/>
              <w:bottom w:val="nil"/>
              <w:right w:val="nil"/>
            </w:tcBorders>
            <w:vAlign w:val="bottom"/>
          </w:tcPr>
          <w:p w:rsidR="00E12F47" w:rsidRDefault="00E12F47" w:rsidP="002A1E50"/>
        </w:tc>
        <w:tc>
          <w:tcPr>
            <w:tcW w:w="6456" w:type="dxa"/>
            <w:tcBorders>
              <w:top w:val="nil"/>
              <w:left w:val="nil"/>
              <w:bottom w:val="nil"/>
              <w:right w:val="nil"/>
            </w:tcBorders>
            <w:vAlign w:val="bottom"/>
            <w:hideMark/>
          </w:tcPr>
          <w:p w:rsidR="00E12F47" w:rsidRDefault="00B40F96" w:rsidP="002A1E50">
            <w:pPr>
              <w:rPr>
                <w:b/>
                <w:i/>
              </w:rPr>
            </w:pPr>
            <w:r>
              <w:rPr>
                <w:b/>
                <w:i/>
              </w:rPr>
              <w:t>See Hard Copy For Signature</w:t>
            </w:r>
          </w:p>
        </w:tc>
        <w:tc>
          <w:tcPr>
            <w:tcW w:w="270" w:type="dxa"/>
            <w:tcBorders>
              <w:top w:val="nil"/>
              <w:left w:val="nil"/>
              <w:bottom w:val="nil"/>
              <w:right w:val="single" w:sz="4" w:space="0" w:color="auto"/>
            </w:tcBorders>
            <w:vAlign w:val="bottom"/>
          </w:tcPr>
          <w:p w:rsidR="00E12F47" w:rsidRDefault="00E12F47" w:rsidP="002A1E50">
            <w:pPr>
              <w:rPr>
                <w:b/>
                <w:i/>
              </w:rPr>
            </w:pPr>
          </w:p>
        </w:tc>
        <w:tc>
          <w:tcPr>
            <w:tcW w:w="270" w:type="dxa"/>
            <w:tcBorders>
              <w:top w:val="nil"/>
              <w:left w:val="single" w:sz="4" w:space="0" w:color="auto"/>
              <w:bottom w:val="nil"/>
              <w:right w:val="nil"/>
            </w:tcBorders>
            <w:vAlign w:val="bottom"/>
          </w:tcPr>
          <w:p w:rsidR="00E12F47" w:rsidRDefault="00E12F47" w:rsidP="002A1E50"/>
        </w:tc>
        <w:tc>
          <w:tcPr>
            <w:tcW w:w="1440" w:type="dxa"/>
            <w:tcBorders>
              <w:top w:val="nil"/>
              <w:left w:val="nil"/>
              <w:bottom w:val="single" w:sz="4" w:space="0" w:color="auto"/>
              <w:right w:val="nil"/>
            </w:tcBorders>
            <w:vAlign w:val="bottom"/>
            <w:hideMark/>
          </w:tcPr>
          <w:p w:rsidR="00E12F47" w:rsidRDefault="00B40F96" w:rsidP="002A1E50">
            <w:r>
              <w:t>02/26/15</w:t>
            </w:r>
          </w:p>
        </w:tc>
        <w:tc>
          <w:tcPr>
            <w:tcW w:w="1526" w:type="dxa"/>
            <w:tcBorders>
              <w:top w:val="nil"/>
              <w:left w:val="nil"/>
              <w:bottom w:val="nil"/>
              <w:right w:val="single" w:sz="4" w:space="0" w:color="auto"/>
            </w:tcBorders>
            <w:vAlign w:val="bottom"/>
          </w:tcPr>
          <w:p w:rsidR="00E12F47" w:rsidRDefault="00E12F47" w:rsidP="002A1E50"/>
        </w:tc>
      </w:tr>
      <w:tr w:rsidR="00F50694" w:rsidTr="005B2CA1">
        <w:trPr>
          <w:trHeight w:val="413"/>
          <w:jc w:val="center"/>
        </w:trPr>
        <w:tc>
          <w:tcPr>
            <w:tcW w:w="291" w:type="dxa"/>
            <w:tcBorders>
              <w:top w:val="nil"/>
              <w:left w:val="single" w:sz="4" w:space="0" w:color="auto"/>
              <w:bottom w:val="single" w:sz="4" w:space="0" w:color="auto"/>
              <w:right w:val="nil"/>
            </w:tcBorders>
          </w:tcPr>
          <w:p w:rsidR="00F50694" w:rsidRDefault="00F50694" w:rsidP="002A1E50"/>
        </w:tc>
        <w:tc>
          <w:tcPr>
            <w:tcW w:w="6456" w:type="dxa"/>
            <w:tcBorders>
              <w:top w:val="single" w:sz="4" w:space="0" w:color="auto"/>
              <w:left w:val="nil"/>
              <w:bottom w:val="single" w:sz="4" w:space="0" w:color="auto"/>
              <w:right w:val="nil"/>
            </w:tcBorders>
            <w:hideMark/>
          </w:tcPr>
          <w:p w:rsidR="00F50694" w:rsidRPr="00A254FB" w:rsidRDefault="00A254FB" w:rsidP="002A1E50">
            <w:pPr>
              <w:rPr>
                <w:bCs/>
              </w:rPr>
            </w:pPr>
            <w:r>
              <w:rPr>
                <w:bCs/>
              </w:rPr>
              <w:t>Bruce Whitfield, CEO</w:t>
            </w:r>
          </w:p>
        </w:tc>
        <w:tc>
          <w:tcPr>
            <w:tcW w:w="270" w:type="dxa"/>
            <w:tcBorders>
              <w:top w:val="nil"/>
              <w:left w:val="nil"/>
              <w:bottom w:val="single" w:sz="4" w:space="0" w:color="auto"/>
              <w:right w:val="single" w:sz="4" w:space="0" w:color="auto"/>
            </w:tcBorders>
          </w:tcPr>
          <w:p w:rsidR="00F50694" w:rsidRDefault="00F50694" w:rsidP="002A1E50"/>
        </w:tc>
        <w:tc>
          <w:tcPr>
            <w:tcW w:w="270" w:type="dxa"/>
            <w:tcBorders>
              <w:top w:val="nil"/>
              <w:left w:val="single" w:sz="4" w:space="0" w:color="auto"/>
              <w:bottom w:val="single" w:sz="4" w:space="0" w:color="auto"/>
              <w:right w:val="nil"/>
            </w:tcBorders>
          </w:tcPr>
          <w:p w:rsidR="00F50694" w:rsidRDefault="00F50694" w:rsidP="002A1E50"/>
        </w:tc>
        <w:tc>
          <w:tcPr>
            <w:tcW w:w="1440" w:type="dxa"/>
            <w:tcBorders>
              <w:top w:val="single" w:sz="4" w:space="0" w:color="auto"/>
              <w:left w:val="nil"/>
              <w:bottom w:val="single" w:sz="4" w:space="0" w:color="auto"/>
              <w:right w:val="nil"/>
            </w:tcBorders>
          </w:tcPr>
          <w:p w:rsidR="00F50694" w:rsidRDefault="00F50694" w:rsidP="002A1E50"/>
        </w:tc>
        <w:tc>
          <w:tcPr>
            <w:tcW w:w="1526" w:type="dxa"/>
            <w:tcBorders>
              <w:top w:val="nil"/>
              <w:left w:val="nil"/>
              <w:bottom w:val="single" w:sz="4" w:space="0" w:color="auto"/>
              <w:right w:val="single" w:sz="4" w:space="0" w:color="auto"/>
            </w:tcBorders>
          </w:tcPr>
          <w:p w:rsidR="00F50694" w:rsidRDefault="00F50694" w:rsidP="002A1E50"/>
        </w:tc>
      </w:tr>
    </w:tbl>
    <w:p w:rsidR="004A17FD" w:rsidRDefault="004A17FD" w:rsidP="00024AA8">
      <w:pPr>
        <w:spacing w:after="240"/>
        <w:rPr>
          <w:b/>
          <w:bCs/>
          <w:u w:val="single"/>
        </w:rPr>
      </w:pPr>
    </w:p>
    <w:sectPr w:rsidR="004A17FD" w:rsidSect="00A961CE">
      <w:footerReference w:type="even" r:id="rId13"/>
      <w:footerReference w:type="default" r:id="rId14"/>
      <w:pgSz w:w="12240" w:h="15840"/>
      <w:pgMar w:top="576" w:right="1080" w:bottom="576" w:left="108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CF" w:rsidRDefault="009F2FCF">
      <w:r>
        <w:separator/>
      </w:r>
    </w:p>
  </w:endnote>
  <w:endnote w:type="continuationSeparator" w:id="0">
    <w:p w:rsidR="009F2FCF" w:rsidRDefault="009F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A" w:rsidRDefault="00A74622">
    <w:pPr>
      <w:pStyle w:val="Footer"/>
      <w:framePr w:wrap="around" w:vAnchor="text" w:hAnchor="margin" w:xAlign="center" w:y="1"/>
      <w:rPr>
        <w:rStyle w:val="PageNumber"/>
      </w:rPr>
    </w:pPr>
    <w:r>
      <w:rPr>
        <w:rStyle w:val="PageNumber"/>
      </w:rPr>
      <w:fldChar w:fldCharType="begin"/>
    </w:r>
    <w:r w:rsidR="001C237A">
      <w:rPr>
        <w:rStyle w:val="PageNumber"/>
      </w:rPr>
      <w:instrText xml:space="preserve">PAGE  </w:instrText>
    </w:r>
    <w:r>
      <w:rPr>
        <w:rStyle w:val="PageNumber"/>
      </w:rPr>
      <w:fldChar w:fldCharType="end"/>
    </w:r>
  </w:p>
  <w:p w:rsidR="001C237A" w:rsidRDefault="001C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A" w:rsidRDefault="001C237A" w:rsidP="003536A1">
    <w:pPr>
      <w:pStyle w:val="Footer"/>
      <w:jc w:val="center"/>
      <w:rPr>
        <w:sz w:val="20"/>
        <w:szCs w:val="20"/>
      </w:rPr>
    </w:pPr>
    <w:r w:rsidRPr="004A73A6">
      <w:rPr>
        <w:sz w:val="20"/>
        <w:szCs w:val="20"/>
      </w:rPr>
      <w:t xml:space="preserve">Page </w:t>
    </w:r>
    <w:r w:rsidR="00A74622" w:rsidRPr="004A73A6">
      <w:rPr>
        <w:sz w:val="20"/>
        <w:szCs w:val="20"/>
      </w:rPr>
      <w:fldChar w:fldCharType="begin"/>
    </w:r>
    <w:r w:rsidRPr="004A73A6">
      <w:rPr>
        <w:sz w:val="20"/>
        <w:szCs w:val="20"/>
      </w:rPr>
      <w:instrText xml:space="preserve"> PAGE </w:instrText>
    </w:r>
    <w:r w:rsidR="00A74622" w:rsidRPr="004A73A6">
      <w:rPr>
        <w:sz w:val="20"/>
        <w:szCs w:val="20"/>
      </w:rPr>
      <w:fldChar w:fldCharType="separate"/>
    </w:r>
    <w:r w:rsidR="00871FF7">
      <w:rPr>
        <w:noProof/>
        <w:sz w:val="20"/>
        <w:szCs w:val="20"/>
      </w:rPr>
      <w:t>1</w:t>
    </w:r>
    <w:r w:rsidR="00A74622" w:rsidRPr="004A73A6">
      <w:rPr>
        <w:sz w:val="20"/>
        <w:szCs w:val="20"/>
      </w:rPr>
      <w:fldChar w:fldCharType="end"/>
    </w:r>
    <w:r w:rsidRPr="004A73A6">
      <w:rPr>
        <w:sz w:val="20"/>
        <w:szCs w:val="20"/>
      </w:rPr>
      <w:t xml:space="preserve"> of </w:t>
    </w:r>
    <w:r w:rsidR="00A74622" w:rsidRPr="004A73A6">
      <w:rPr>
        <w:sz w:val="20"/>
        <w:szCs w:val="20"/>
      </w:rPr>
      <w:fldChar w:fldCharType="begin"/>
    </w:r>
    <w:r w:rsidRPr="004A73A6">
      <w:rPr>
        <w:sz w:val="20"/>
        <w:szCs w:val="20"/>
      </w:rPr>
      <w:instrText xml:space="preserve"> NUMPAGES </w:instrText>
    </w:r>
    <w:r w:rsidR="00A74622" w:rsidRPr="004A73A6">
      <w:rPr>
        <w:sz w:val="20"/>
        <w:szCs w:val="20"/>
      </w:rPr>
      <w:fldChar w:fldCharType="separate"/>
    </w:r>
    <w:r w:rsidR="00871FF7">
      <w:rPr>
        <w:noProof/>
        <w:sz w:val="20"/>
        <w:szCs w:val="20"/>
      </w:rPr>
      <w:t>3</w:t>
    </w:r>
    <w:r w:rsidR="00A74622" w:rsidRPr="004A73A6">
      <w:rPr>
        <w:sz w:val="20"/>
        <w:szCs w:val="20"/>
      </w:rPr>
      <w:fldChar w:fldCharType="end"/>
    </w:r>
  </w:p>
  <w:p w:rsidR="001C237A" w:rsidRPr="003536A1" w:rsidRDefault="001C237A" w:rsidP="003536A1">
    <w:pPr>
      <w:pStyle w:val="Footer"/>
      <w:jc w:val="center"/>
      <w:rPr>
        <w:sz w:val="20"/>
        <w:szCs w:val="20"/>
      </w:rPr>
    </w:pPr>
    <w:r>
      <w:rPr>
        <w:sz w:val="20"/>
        <w:szCs w:val="20"/>
      </w:rPr>
      <w:t xml:space="preserve">UR-102 </w:t>
    </w:r>
    <w:r w:rsidRPr="006F2777">
      <w:rPr>
        <w:sz w:val="20"/>
        <w:szCs w:val="20"/>
      </w:rPr>
      <w:t>Utilization Review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CF" w:rsidRDefault="009F2FCF">
      <w:r>
        <w:separator/>
      </w:r>
    </w:p>
  </w:footnote>
  <w:footnote w:type="continuationSeparator" w:id="0">
    <w:p w:rsidR="009F2FCF" w:rsidRDefault="009F2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7D"/>
    <w:multiLevelType w:val="hybridMultilevel"/>
    <w:tmpl w:val="D63C4F4E"/>
    <w:lvl w:ilvl="0" w:tplc="DF76723E">
      <w:start w:val="1"/>
      <w:numFmt w:val="decimal"/>
      <w:lvlText w:val="%1."/>
      <w:lvlJc w:val="left"/>
      <w:pPr>
        <w:tabs>
          <w:tab w:val="num" w:pos="840"/>
        </w:tabs>
        <w:ind w:left="840" w:hanging="480"/>
      </w:pPr>
      <w:rPr>
        <w:rFonts w:hint="default"/>
      </w:rPr>
    </w:lvl>
    <w:lvl w:ilvl="1" w:tplc="DD94394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476BC"/>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
    <w:nsid w:val="07EA59C3"/>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3">
    <w:nsid w:val="0ADC5C89"/>
    <w:multiLevelType w:val="hybridMultilevel"/>
    <w:tmpl w:val="5EE258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387FB6"/>
    <w:multiLevelType w:val="hybridMultilevel"/>
    <w:tmpl w:val="13BA2A6C"/>
    <w:lvl w:ilvl="0" w:tplc="2EC6A818">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D33EC"/>
    <w:multiLevelType w:val="hybridMultilevel"/>
    <w:tmpl w:val="7E76D2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A00BBC"/>
    <w:multiLevelType w:val="hybridMultilevel"/>
    <w:tmpl w:val="5788619E"/>
    <w:lvl w:ilvl="0" w:tplc="96B8A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84128A"/>
    <w:multiLevelType w:val="multilevel"/>
    <w:tmpl w:val="9ED622B4"/>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ascii="Times New Roman" w:hAnsi="Times New Roman" w:hint="default"/>
        <w:b w:val="0"/>
        <w:i w:val="0"/>
        <w:sz w:val="24"/>
      </w:rPr>
    </w:lvl>
    <w:lvl w:ilvl="5">
      <w:start w:val="1"/>
      <w:numFmt w:val="lowerLetter"/>
      <w:lvlText w:val="(%6)"/>
      <w:lvlJc w:val="left"/>
      <w:pPr>
        <w:tabs>
          <w:tab w:val="num" w:pos="2664"/>
        </w:tabs>
        <w:ind w:left="2664" w:hanging="432"/>
      </w:pPr>
      <w:rPr>
        <w:rFonts w:ascii="Times New Roman" w:hAnsi="Times New Roman" w:hint="default"/>
        <w:b w:val="0"/>
        <w:i w:val="0"/>
        <w:sz w:val="24"/>
      </w:rPr>
    </w:lvl>
    <w:lvl w:ilvl="6">
      <w:start w:val="1"/>
      <w:numFmt w:val="lowerRoman"/>
      <w:lvlText w:val="(%7)"/>
      <w:lvlJc w:val="left"/>
      <w:pPr>
        <w:tabs>
          <w:tab w:val="num" w:pos="3096"/>
        </w:tabs>
        <w:ind w:left="3096" w:hanging="432"/>
      </w:pPr>
      <w:rPr>
        <w:rFonts w:ascii="Times New Roman" w:hAnsi="Times New Roman" w:hint="default"/>
        <w:b w:val="0"/>
        <w:i w:val="0"/>
        <w:sz w:val="24"/>
      </w:rPr>
    </w:lvl>
    <w:lvl w:ilvl="7">
      <w:start w:val="1"/>
      <w:numFmt w:val="lowerLetter"/>
      <w:lvlText w:val="(%8)"/>
      <w:lvlJc w:val="left"/>
      <w:pPr>
        <w:tabs>
          <w:tab w:val="num" w:pos="3528"/>
        </w:tabs>
        <w:ind w:left="3528" w:hanging="432"/>
      </w:pPr>
      <w:rPr>
        <w:rFonts w:ascii="Times New Roman" w:hAnsi="Times New Roman" w:hint="default"/>
        <w:b w:val="0"/>
        <w:i w:val="0"/>
        <w:sz w:val="24"/>
      </w:rPr>
    </w:lvl>
    <w:lvl w:ilvl="8">
      <w:start w:val="1"/>
      <w:numFmt w:val="lowerRoman"/>
      <w:lvlText w:val="(%9)"/>
      <w:lvlJc w:val="left"/>
      <w:pPr>
        <w:tabs>
          <w:tab w:val="num" w:pos="3960"/>
        </w:tabs>
        <w:ind w:left="3960" w:hanging="432"/>
      </w:pPr>
      <w:rPr>
        <w:rFonts w:ascii="Times New Roman" w:hAnsi="Times New Roman" w:hint="default"/>
        <w:b w:val="0"/>
        <w:i w:val="0"/>
        <w:sz w:val="24"/>
      </w:rPr>
    </w:lvl>
  </w:abstractNum>
  <w:abstractNum w:abstractNumId="8">
    <w:nsid w:val="1D2013DD"/>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9">
    <w:nsid w:val="1EEB428E"/>
    <w:multiLevelType w:val="hybridMultilevel"/>
    <w:tmpl w:val="06A2BA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92B5C"/>
    <w:multiLevelType w:val="hybridMultilevel"/>
    <w:tmpl w:val="594C3006"/>
    <w:lvl w:ilvl="0" w:tplc="A8BE0F7A">
      <w:start w:val="1"/>
      <w:numFmt w:val="decimal"/>
      <w:lvlText w:val="%1."/>
      <w:lvlJc w:val="left"/>
      <w:pPr>
        <w:tabs>
          <w:tab w:val="num" w:pos="840"/>
        </w:tabs>
        <w:ind w:left="840" w:hanging="48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E5D83"/>
    <w:multiLevelType w:val="hybridMultilevel"/>
    <w:tmpl w:val="31807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C7643"/>
    <w:multiLevelType w:val="hybridMultilevel"/>
    <w:tmpl w:val="D7822810"/>
    <w:lvl w:ilvl="0" w:tplc="101C75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922800"/>
    <w:multiLevelType w:val="hybridMultilevel"/>
    <w:tmpl w:val="817041AC"/>
    <w:lvl w:ilvl="0" w:tplc="04090019">
      <w:start w:val="1"/>
      <w:numFmt w:val="lowerLetter"/>
      <w:lvlText w:val="%1."/>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1B01E5"/>
    <w:multiLevelType w:val="hybridMultilevel"/>
    <w:tmpl w:val="AD5AFC5A"/>
    <w:lvl w:ilvl="0" w:tplc="A9ACB1A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63051C"/>
    <w:multiLevelType w:val="hybridMultilevel"/>
    <w:tmpl w:val="923C9B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317D0"/>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17">
    <w:nsid w:val="30597BF1"/>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18">
    <w:nsid w:val="317D3256"/>
    <w:multiLevelType w:val="hybridMultilevel"/>
    <w:tmpl w:val="872288EA"/>
    <w:lvl w:ilvl="0" w:tplc="D60C0D6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5B2A3C"/>
    <w:multiLevelType w:val="hybridMultilevel"/>
    <w:tmpl w:val="A0148918"/>
    <w:lvl w:ilvl="0" w:tplc="6F3E4112">
      <w:start w:val="1"/>
      <w:numFmt w:val="decimal"/>
      <w:lvlText w:val="%1."/>
      <w:lvlJc w:val="left"/>
      <w:pPr>
        <w:tabs>
          <w:tab w:val="num" w:pos="840"/>
        </w:tabs>
        <w:ind w:left="840" w:hanging="480"/>
      </w:pPr>
      <w:rPr>
        <w:rFonts w:hint="default"/>
      </w:rPr>
    </w:lvl>
    <w:lvl w:ilvl="1" w:tplc="EB90B556">
      <w:start w:val="1"/>
      <w:numFmt w:val="upp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33495D"/>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1">
    <w:nsid w:val="414251B9"/>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2">
    <w:nsid w:val="41563E7E"/>
    <w:multiLevelType w:val="hybridMultilevel"/>
    <w:tmpl w:val="A96ADE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B57A40"/>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4">
    <w:nsid w:val="421C7E96"/>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5">
    <w:nsid w:val="43F54FC0"/>
    <w:multiLevelType w:val="hybridMultilevel"/>
    <w:tmpl w:val="17A691DE"/>
    <w:lvl w:ilvl="0" w:tplc="E2C060D0">
      <w:start w:val="1"/>
      <w:numFmt w:val="decimal"/>
      <w:lvlText w:val="%1."/>
      <w:lvlJc w:val="left"/>
      <w:pPr>
        <w:tabs>
          <w:tab w:val="num" w:pos="840"/>
        </w:tabs>
        <w:ind w:left="840" w:hanging="480"/>
      </w:pPr>
      <w:rPr>
        <w:rFonts w:hint="default"/>
      </w:rPr>
    </w:lvl>
    <w:lvl w:ilvl="1" w:tplc="99E08CFC">
      <w:start w:val="1"/>
      <w:numFmt w:val="upperLetter"/>
      <w:lvlText w:val="%2."/>
      <w:lvlJc w:val="left"/>
      <w:pPr>
        <w:tabs>
          <w:tab w:val="num" w:pos="1545"/>
        </w:tabs>
        <w:ind w:left="1545" w:hanging="465"/>
      </w:pPr>
      <w:rPr>
        <w:rFonts w:hint="default"/>
      </w:rPr>
    </w:lvl>
    <w:lvl w:ilvl="2" w:tplc="8B6AC66C">
      <w:start w:val="1"/>
      <w:numFmt w:val="lowerLetter"/>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F042E0"/>
    <w:multiLevelType w:val="multilevel"/>
    <w:tmpl w:val="AB241FB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864"/>
        </w:tabs>
        <w:ind w:left="864" w:hanging="504"/>
      </w:pPr>
      <w:rPr>
        <w:rFonts w:hint="default"/>
      </w:rPr>
    </w:lvl>
    <w:lvl w:ilvl="2">
      <w:start w:val="1"/>
      <w:numFmt w:val="lowerLetter"/>
      <w:lvlText w:val="%3."/>
      <w:lvlJc w:val="left"/>
      <w:pPr>
        <w:tabs>
          <w:tab w:val="num" w:pos="1368"/>
        </w:tabs>
        <w:ind w:left="1368"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7571AD4"/>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8">
    <w:nsid w:val="495453FA"/>
    <w:multiLevelType w:val="hybridMultilevel"/>
    <w:tmpl w:val="AD146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54B90"/>
    <w:multiLevelType w:val="hybridMultilevel"/>
    <w:tmpl w:val="B0D2DD9C"/>
    <w:lvl w:ilvl="0" w:tplc="F4DAE09A">
      <w:start w:val="1"/>
      <w:numFmt w:val="decimal"/>
      <w:lvlText w:val="%1."/>
      <w:lvlJc w:val="left"/>
      <w:pPr>
        <w:tabs>
          <w:tab w:val="num" w:pos="840"/>
        </w:tabs>
        <w:ind w:left="840" w:hanging="480"/>
      </w:pPr>
      <w:rPr>
        <w:rFonts w:hint="default"/>
      </w:rPr>
    </w:lvl>
    <w:lvl w:ilvl="1" w:tplc="3C5AA728">
      <w:start w:val="1"/>
      <w:numFmt w:val="upperLetter"/>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0C57DA"/>
    <w:multiLevelType w:val="multilevel"/>
    <w:tmpl w:val="8C8A055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color w:val="00000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0784011"/>
    <w:multiLevelType w:val="hybridMultilevel"/>
    <w:tmpl w:val="37E0F8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2DE6772"/>
    <w:multiLevelType w:val="hybridMultilevel"/>
    <w:tmpl w:val="CD3E5768"/>
    <w:lvl w:ilvl="0" w:tplc="DC1CE082">
      <w:start w:val="1"/>
      <w:numFmt w:val="decimal"/>
      <w:lvlText w:val="%1."/>
      <w:lvlJc w:val="left"/>
      <w:pPr>
        <w:tabs>
          <w:tab w:val="num" w:pos="840"/>
        </w:tabs>
        <w:ind w:left="840" w:hanging="480"/>
      </w:pPr>
      <w:rPr>
        <w:rFonts w:hint="default"/>
      </w:rPr>
    </w:lvl>
    <w:lvl w:ilvl="1" w:tplc="AF222ED4">
      <w:start w:val="1"/>
      <w:numFmt w:val="upperLetter"/>
      <w:lvlText w:val="%2."/>
      <w:lvlJc w:val="left"/>
      <w:pPr>
        <w:tabs>
          <w:tab w:val="num" w:pos="1545"/>
        </w:tabs>
        <w:ind w:left="1545" w:hanging="465"/>
      </w:pPr>
      <w:rPr>
        <w:rFonts w:hint="default"/>
      </w:rPr>
    </w:lvl>
    <w:lvl w:ilvl="2" w:tplc="B70CDA6A">
      <w:start w:val="1"/>
      <w:numFmt w:val="lowerLetter"/>
      <w:lvlText w:val="%3."/>
      <w:lvlJc w:val="left"/>
      <w:pPr>
        <w:tabs>
          <w:tab w:val="num" w:pos="2460"/>
        </w:tabs>
        <w:ind w:left="2460" w:hanging="4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E72119"/>
    <w:multiLevelType w:val="multilevel"/>
    <w:tmpl w:val="ACF4AC12"/>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upperLetter"/>
      <w:lvlText w:val="%2."/>
      <w:lvlJc w:val="left"/>
      <w:pPr>
        <w:tabs>
          <w:tab w:val="num" w:pos="720"/>
        </w:tabs>
        <w:ind w:left="720" w:hanging="360"/>
      </w:pPr>
      <w:rPr>
        <w:rFonts w:ascii="Times New Roman" w:hAnsi="Times New Roman" w:hint="default"/>
        <w:b w:val="0"/>
        <w:i w:val="0"/>
        <w:color w:val="auto"/>
        <w:sz w:val="24"/>
        <w:szCs w:val="24"/>
      </w:rPr>
    </w:lvl>
    <w:lvl w:ilvl="2">
      <w:start w:val="1"/>
      <w:numFmt w:val="lowerLetter"/>
      <w:lvlText w:val="%3."/>
      <w:lvlJc w:val="left"/>
      <w:pPr>
        <w:tabs>
          <w:tab w:val="num" w:pos="1080"/>
        </w:tabs>
        <w:ind w:left="1080" w:hanging="360"/>
      </w:pPr>
      <w:rPr>
        <w:rFonts w:ascii="Times New Roman" w:hAnsi="Times New Roman" w:hint="default"/>
        <w:b w:val="0"/>
        <w:i w:val="0"/>
        <w:color w:val="auto"/>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7ED6DC2"/>
    <w:multiLevelType w:val="hybridMultilevel"/>
    <w:tmpl w:val="D418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92AA9"/>
    <w:multiLevelType w:val="hybridMultilevel"/>
    <w:tmpl w:val="911C656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380628"/>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37">
    <w:nsid w:val="61456242"/>
    <w:multiLevelType w:val="multilevel"/>
    <w:tmpl w:val="ACF4AC12"/>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upperLetter"/>
      <w:lvlText w:val="%2."/>
      <w:lvlJc w:val="left"/>
      <w:pPr>
        <w:tabs>
          <w:tab w:val="num" w:pos="720"/>
        </w:tabs>
        <w:ind w:left="720" w:hanging="360"/>
      </w:pPr>
      <w:rPr>
        <w:rFonts w:ascii="Times New Roman" w:hAnsi="Times New Roman" w:hint="default"/>
        <w:b w:val="0"/>
        <w:i w:val="0"/>
        <w:color w:val="auto"/>
        <w:sz w:val="24"/>
        <w:szCs w:val="24"/>
      </w:rPr>
    </w:lvl>
    <w:lvl w:ilvl="2">
      <w:start w:val="1"/>
      <w:numFmt w:val="lowerLetter"/>
      <w:lvlText w:val="%3."/>
      <w:lvlJc w:val="left"/>
      <w:pPr>
        <w:tabs>
          <w:tab w:val="num" w:pos="1080"/>
        </w:tabs>
        <w:ind w:left="1080" w:hanging="360"/>
      </w:pPr>
      <w:rPr>
        <w:rFonts w:ascii="Times New Roman" w:hAnsi="Times New Roman" w:hint="default"/>
        <w:b w:val="0"/>
        <w:i w:val="0"/>
        <w:color w:val="auto"/>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4625861"/>
    <w:multiLevelType w:val="hybridMultilevel"/>
    <w:tmpl w:val="8EBC2B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5E95BE3"/>
    <w:multiLevelType w:val="hybridMultilevel"/>
    <w:tmpl w:val="1AA473D2"/>
    <w:lvl w:ilvl="0" w:tplc="94806E7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1439C9"/>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41">
    <w:nsid w:val="67771D41"/>
    <w:multiLevelType w:val="hybridMultilevel"/>
    <w:tmpl w:val="E8665604"/>
    <w:lvl w:ilvl="0" w:tplc="599AF39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9023FC2"/>
    <w:multiLevelType w:val="multilevel"/>
    <w:tmpl w:val="9ED622B4"/>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ascii="Times New Roman" w:hAnsi="Times New Roman" w:hint="default"/>
        <w:b w:val="0"/>
        <w:i w:val="0"/>
        <w:sz w:val="24"/>
      </w:rPr>
    </w:lvl>
    <w:lvl w:ilvl="5">
      <w:start w:val="1"/>
      <w:numFmt w:val="lowerLetter"/>
      <w:lvlText w:val="(%6)"/>
      <w:lvlJc w:val="left"/>
      <w:pPr>
        <w:tabs>
          <w:tab w:val="num" w:pos="2664"/>
        </w:tabs>
        <w:ind w:left="2664" w:hanging="432"/>
      </w:pPr>
      <w:rPr>
        <w:rFonts w:ascii="Times New Roman" w:hAnsi="Times New Roman" w:hint="default"/>
        <w:b w:val="0"/>
        <w:i w:val="0"/>
        <w:sz w:val="24"/>
      </w:rPr>
    </w:lvl>
    <w:lvl w:ilvl="6">
      <w:start w:val="1"/>
      <w:numFmt w:val="lowerRoman"/>
      <w:lvlText w:val="(%7)"/>
      <w:lvlJc w:val="left"/>
      <w:pPr>
        <w:tabs>
          <w:tab w:val="num" w:pos="3096"/>
        </w:tabs>
        <w:ind w:left="3096" w:hanging="432"/>
      </w:pPr>
      <w:rPr>
        <w:rFonts w:ascii="Times New Roman" w:hAnsi="Times New Roman" w:hint="default"/>
        <w:b w:val="0"/>
        <w:i w:val="0"/>
        <w:sz w:val="24"/>
      </w:rPr>
    </w:lvl>
    <w:lvl w:ilvl="7">
      <w:start w:val="1"/>
      <w:numFmt w:val="lowerLetter"/>
      <w:lvlText w:val="(%8)"/>
      <w:lvlJc w:val="left"/>
      <w:pPr>
        <w:tabs>
          <w:tab w:val="num" w:pos="3528"/>
        </w:tabs>
        <w:ind w:left="3528" w:hanging="432"/>
      </w:pPr>
      <w:rPr>
        <w:rFonts w:ascii="Times New Roman" w:hAnsi="Times New Roman" w:hint="default"/>
        <w:b w:val="0"/>
        <w:i w:val="0"/>
        <w:sz w:val="24"/>
      </w:rPr>
    </w:lvl>
    <w:lvl w:ilvl="8">
      <w:start w:val="1"/>
      <w:numFmt w:val="lowerRoman"/>
      <w:lvlText w:val="(%9)"/>
      <w:lvlJc w:val="left"/>
      <w:pPr>
        <w:tabs>
          <w:tab w:val="num" w:pos="3960"/>
        </w:tabs>
        <w:ind w:left="3960" w:hanging="432"/>
      </w:pPr>
      <w:rPr>
        <w:rFonts w:ascii="Times New Roman" w:hAnsi="Times New Roman" w:hint="default"/>
        <w:b w:val="0"/>
        <w:i w:val="0"/>
        <w:sz w:val="24"/>
      </w:rPr>
    </w:lvl>
  </w:abstractNum>
  <w:abstractNum w:abstractNumId="43">
    <w:nsid w:val="74BD5673"/>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44">
    <w:nsid w:val="77792386"/>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45">
    <w:nsid w:val="799D42A4"/>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46">
    <w:nsid w:val="7C837FFA"/>
    <w:multiLevelType w:val="hybridMultilevel"/>
    <w:tmpl w:val="D95E96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3"/>
  </w:num>
  <w:num w:numId="3">
    <w:abstractNumId w:val="20"/>
  </w:num>
  <w:num w:numId="4">
    <w:abstractNumId w:val="24"/>
  </w:num>
  <w:num w:numId="5">
    <w:abstractNumId w:val="22"/>
  </w:num>
  <w:num w:numId="6">
    <w:abstractNumId w:val="17"/>
  </w:num>
  <w:num w:numId="7">
    <w:abstractNumId w:val="31"/>
  </w:num>
  <w:num w:numId="8">
    <w:abstractNumId w:val="45"/>
  </w:num>
  <w:num w:numId="9">
    <w:abstractNumId w:val="19"/>
  </w:num>
  <w:num w:numId="10">
    <w:abstractNumId w:val="10"/>
  </w:num>
  <w:num w:numId="11">
    <w:abstractNumId w:val="8"/>
  </w:num>
  <w:num w:numId="12">
    <w:abstractNumId w:val="25"/>
  </w:num>
  <w:num w:numId="13">
    <w:abstractNumId w:val="44"/>
  </w:num>
  <w:num w:numId="14">
    <w:abstractNumId w:val="18"/>
  </w:num>
  <w:num w:numId="15">
    <w:abstractNumId w:val="4"/>
  </w:num>
  <w:num w:numId="16">
    <w:abstractNumId w:val="2"/>
  </w:num>
  <w:num w:numId="17">
    <w:abstractNumId w:val="27"/>
  </w:num>
  <w:num w:numId="18">
    <w:abstractNumId w:val="32"/>
  </w:num>
  <w:num w:numId="19">
    <w:abstractNumId w:val="29"/>
  </w:num>
  <w:num w:numId="20">
    <w:abstractNumId w:val="43"/>
  </w:num>
  <w:num w:numId="21">
    <w:abstractNumId w:val="21"/>
  </w:num>
  <w:num w:numId="22">
    <w:abstractNumId w:val="0"/>
  </w:num>
  <w:num w:numId="23">
    <w:abstractNumId w:val="39"/>
  </w:num>
  <w:num w:numId="24">
    <w:abstractNumId w:val="1"/>
  </w:num>
  <w:num w:numId="25">
    <w:abstractNumId w:val="38"/>
  </w:num>
  <w:num w:numId="26">
    <w:abstractNumId w:val="3"/>
  </w:num>
  <w:num w:numId="27">
    <w:abstractNumId w:val="33"/>
  </w:num>
  <w:num w:numId="28">
    <w:abstractNumId w:val="37"/>
  </w:num>
  <w:num w:numId="29">
    <w:abstractNumId w:val="40"/>
  </w:num>
  <w:num w:numId="30">
    <w:abstractNumId w:val="34"/>
  </w:num>
  <w:num w:numId="31">
    <w:abstractNumId w:val="6"/>
  </w:num>
  <w:num w:numId="32">
    <w:abstractNumId w:val="14"/>
  </w:num>
  <w:num w:numId="33">
    <w:abstractNumId w:val="41"/>
  </w:num>
  <w:num w:numId="34">
    <w:abstractNumId w:val="12"/>
  </w:num>
  <w:num w:numId="35">
    <w:abstractNumId w:val="30"/>
  </w:num>
  <w:num w:numId="36">
    <w:abstractNumId w:val="36"/>
  </w:num>
  <w:num w:numId="37">
    <w:abstractNumId w:val="26"/>
  </w:num>
  <w:num w:numId="38">
    <w:abstractNumId w:val="7"/>
  </w:num>
  <w:num w:numId="39">
    <w:abstractNumId w:val="5"/>
  </w:num>
  <w:num w:numId="40">
    <w:abstractNumId w:val="28"/>
  </w:num>
  <w:num w:numId="41">
    <w:abstractNumId w:val="9"/>
  </w:num>
  <w:num w:numId="42">
    <w:abstractNumId w:val="46"/>
  </w:num>
  <w:num w:numId="43">
    <w:abstractNumId w:val="35"/>
  </w:num>
  <w:num w:numId="44">
    <w:abstractNumId w:val="15"/>
  </w:num>
  <w:num w:numId="45">
    <w:abstractNumId w:val="13"/>
  </w:num>
  <w:num w:numId="46">
    <w:abstractNumId w:val="11"/>
  </w:num>
  <w:num w:numId="47">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E9"/>
    <w:rsid w:val="00001210"/>
    <w:rsid w:val="00001604"/>
    <w:rsid w:val="00005571"/>
    <w:rsid w:val="000062FD"/>
    <w:rsid w:val="00011DD4"/>
    <w:rsid w:val="00014098"/>
    <w:rsid w:val="00023158"/>
    <w:rsid w:val="00024AA8"/>
    <w:rsid w:val="0002692E"/>
    <w:rsid w:val="00030345"/>
    <w:rsid w:val="000309AE"/>
    <w:rsid w:val="00033D5C"/>
    <w:rsid w:val="0003646E"/>
    <w:rsid w:val="000405F5"/>
    <w:rsid w:val="00042E44"/>
    <w:rsid w:val="0005372B"/>
    <w:rsid w:val="00054C95"/>
    <w:rsid w:val="00055227"/>
    <w:rsid w:val="0005593C"/>
    <w:rsid w:val="0007222E"/>
    <w:rsid w:val="00072E3B"/>
    <w:rsid w:val="0007397B"/>
    <w:rsid w:val="00077508"/>
    <w:rsid w:val="000816F0"/>
    <w:rsid w:val="00081A8E"/>
    <w:rsid w:val="0008271A"/>
    <w:rsid w:val="0009759F"/>
    <w:rsid w:val="000A23F5"/>
    <w:rsid w:val="000B0E3A"/>
    <w:rsid w:val="000C374D"/>
    <w:rsid w:val="000C4BA3"/>
    <w:rsid w:val="000C639F"/>
    <w:rsid w:val="000D07BB"/>
    <w:rsid w:val="000D0935"/>
    <w:rsid w:val="000D3001"/>
    <w:rsid w:val="000D3B88"/>
    <w:rsid w:val="000D7E6C"/>
    <w:rsid w:val="000E370D"/>
    <w:rsid w:val="000E5646"/>
    <w:rsid w:val="000F13BD"/>
    <w:rsid w:val="000F3FC3"/>
    <w:rsid w:val="001024E3"/>
    <w:rsid w:val="001025B5"/>
    <w:rsid w:val="0010461A"/>
    <w:rsid w:val="00114E35"/>
    <w:rsid w:val="0012142C"/>
    <w:rsid w:val="00126E0C"/>
    <w:rsid w:val="00135F09"/>
    <w:rsid w:val="00141EE8"/>
    <w:rsid w:val="00142D09"/>
    <w:rsid w:val="00143ED1"/>
    <w:rsid w:val="00150875"/>
    <w:rsid w:val="0015170F"/>
    <w:rsid w:val="00154CAC"/>
    <w:rsid w:val="00161371"/>
    <w:rsid w:val="0016739E"/>
    <w:rsid w:val="00175989"/>
    <w:rsid w:val="00192A42"/>
    <w:rsid w:val="00195B12"/>
    <w:rsid w:val="0019640F"/>
    <w:rsid w:val="00196BE3"/>
    <w:rsid w:val="001A1432"/>
    <w:rsid w:val="001B553A"/>
    <w:rsid w:val="001C237A"/>
    <w:rsid w:val="001C5792"/>
    <w:rsid w:val="001C73C4"/>
    <w:rsid w:val="001D07F6"/>
    <w:rsid w:val="001D3B78"/>
    <w:rsid w:val="001E20C8"/>
    <w:rsid w:val="001E3578"/>
    <w:rsid w:val="001E4A79"/>
    <w:rsid w:val="001F2994"/>
    <w:rsid w:val="001F3676"/>
    <w:rsid w:val="001F449F"/>
    <w:rsid w:val="001F52E1"/>
    <w:rsid w:val="001F6888"/>
    <w:rsid w:val="002077D8"/>
    <w:rsid w:val="0022664F"/>
    <w:rsid w:val="002270EC"/>
    <w:rsid w:val="00234DC6"/>
    <w:rsid w:val="0023601F"/>
    <w:rsid w:val="002400FF"/>
    <w:rsid w:val="00240349"/>
    <w:rsid w:val="00244BE0"/>
    <w:rsid w:val="00245351"/>
    <w:rsid w:val="00260FCC"/>
    <w:rsid w:val="00261A99"/>
    <w:rsid w:val="0026351F"/>
    <w:rsid w:val="00273250"/>
    <w:rsid w:val="002732BC"/>
    <w:rsid w:val="0028410B"/>
    <w:rsid w:val="00286EBC"/>
    <w:rsid w:val="00293432"/>
    <w:rsid w:val="002938BA"/>
    <w:rsid w:val="002A0772"/>
    <w:rsid w:val="002A1E50"/>
    <w:rsid w:val="002A2689"/>
    <w:rsid w:val="002A7DDA"/>
    <w:rsid w:val="002E2F99"/>
    <w:rsid w:val="002E6E34"/>
    <w:rsid w:val="002E767E"/>
    <w:rsid w:val="002F1395"/>
    <w:rsid w:val="003004D1"/>
    <w:rsid w:val="003048FC"/>
    <w:rsid w:val="00311541"/>
    <w:rsid w:val="00315BA4"/>
    <w:rsid w:val="0031713F"/>
    <w:rsid w:val="00334CC7"/>
    <w:rsid w:val="003443B2"/>
    <w:rsid w:val="003536A1"/>
    <w:rsid w:val="003552F9"/>
    <w:rsid w:val="003605F1"/>
    <w:rsid w:val="00371EA7"/>
    <w:rsid w:val="003874F3"/>
    <w:rsid w:val="0039246E"/>
    <w:rsid w:val="003A2AC7"/>
    <w:rsid w:val="003A3F0F"/>
    <w:rsid w:val="003A5037"/>
    <w:rsid w:val="003B079B"/>
    <w:rsid w:val="003B0D5D"/>
    <w:rsid w:val="003B5783"/>
    <w:rsid w:val="003B7B6E"/>
    <w:rsid w:val="003D0C96"/>
    <w:rsid w:val="003E01EA"/>
    <w:rsid w:val="003E570F"/>
    <w:rsid w:val="003E65F9"/>
    <w:rsid w:val="003F2DF9"/>
    <w:rsid w:val="003F540E"/>
    <w:rsid w:val="003F78E9"/>
    <w:rsid w:val="003F7F49"/>
    <w:rsid w:val="004159A3"/>
    <w:rsid w:val="00415B8A"/>
    <w:rsid w:val="0042728B"/>
    <w:rsid w:val="00427B3E"/>
    <w:rsid w:val="00427C1F"/>
    <w:rsid w:val="00430DD6"/>
    <w:rsid w:val="00431D9B"/>
    <w:rsid w:val="00437730"/>
    <w:rsid w:val="004408E5"/>
    <w:rsid w:val="00441776"/>
    <w:rsid w:val="004428C6"/>
    <w:rsid w:val="0044303C"/>
    <w:rsid w:val="00446087"/>
    <w:rsid w:val="004545EC"/>
    <w:rsid w:val="00455212"/>
    <w:rsid w:val="00461977"/>
    <w:rsid w:val="0046634E"/>
    <w:rsid w:val="00471037"/>
    <w:rsid w:val="004739A3"/>
    <w:rsid w:val="00473DE1"/>
    <w:rsid w:val="00477635"/>
    <w:rsid w:val="0048024A"/>
    <w:rsid w:val="00484E52"/>
    <w:rsid w:val="0048665A"/>
    <w:rsid w:val="004959AB"/>
    <w:rsid w:val="004A17FD"/>
    <w:rsid w:val="004A34E4"/>
    <w:rsid w:val="004A4B83"/>
    <w:rsid w:val="004A73A6"/>
    <w:rsid w:val="004A776E"/>
    <w:rsid w:val="004B11A2"/>
    <w:rsid w:val="004B633C"/>
    <w:rsid w:val="004B64DF"/>
    <w:rsid w:val="004B7D1F"/>
    <w:rsid w:val="004D00D9"/>
    <w:rsid w:val="004E205E"/>
    <w:rsid w:val="004F216B"/>
    <w:rsid w:val="004F4AE0"/>
    <w:rsid w:val="004F5DD2"/>
    <w:rsid w:val="0050262D"/>
    <w:rsid w:val="00505168"/>
    <w:rsid w:val="0050766C"/>
    <w:rsid w:val="00510DD3"/>
    <w:rsid w:val="00513EDE"/>
    <w:rsid w:val="00516F53"/>
    <w:rsid w:val="00522CB0"/>
    <w:rsid w:val="005231BA"/>
    <w:rsid w:val="0052326E"/>
    <w:rsid w:val="00530042"/>
    <w:rsid w:val="00531384"/>
    <w:rsid w:val="00545151"/>
    <w:rsid w:val="00550D27"/>
    <w:rsid w:val="00552BC0"/>
    <w:rsid w:val="005605F3"/>
    <w:rsid w:val="00570500"/>
    <w:rsid w:val="00573B05"/>
    <w:rsid w:val="005742F1"/>
    <w:rsid w:val="00583E0B"/>
    <w:rsid w:val="005849C9"/>
    <w:rsid w:val="00591405"/>
    <w:rsid w:val="005A4840"/>
    <w:rsid w:val="005A6093"/>
    <w:rsid w:val="005B2CA1"/>
    <w:rsid w:val="005B43AE"/>
    <w:rsid w:val="005B4D92"/>
    <w:rsid w:val="005B7D42"/>
    <w:rsid w:val="005C1D4C"/>
    <w:rsid w:val="005D79BA"/>
    <w:rsid w:val="005E34CB"/>
    <w:rsid w:val="005E39FC"/>
    <w:rsid w:val="005E622E"/>
    <w:rsid w:val="005F5FAC"/>
    <w:rsid w:val="00600855"/>
    <w:rsid w:val="00602753"/>
    <w:rsid w:val="00602D18"/>
    <w:rsid w:val="00622F4E"/>
    <w:rsid w:val="006255EF"/>
    <w:rsid w:val="00626046"/>
    <w:rsid w:val="006319E6"/>
    <w:rsid w:val="00635A19"/>
    <w:rsid w:val="00641CA6"/>
    <w:rsid w:val="0065028B"/>
    <w:rsid w:val="00650798"/>
    <w:rsid w:val="00651C9D"/>
    <w:rsid w:val="00653748"/>
    <w:rsid w:val="006569EB"/>
    <w:rsid w:val="0067265E"/>
    <w:rsid w:val="00674354"/>
    <w:rsid w:val="006759F7"/>
    <w:rsid w:val="00675E4E"/>
    <w:rsid w:val="006815E1"/>
    <w:rsid w:val="0069351C"/>
    <w:rsid w:val="0069408C"/>
    <w:rsid w:val="006A1FDF"/>
    <w:rsid w:val="006B3CD5"/>
    <w:rsid w:val="006C34D2"/>
    <w:rsid w:val="006C4840"/>
    <w:rsid w:val="006C62E9"/>
    <w:rsid w:val="006D4973"/>
    <w:rsid w:val="006D5026"/>
    <w:rsid w:val="006D5D35"/>
    <w:rsid w:val="006D6E10"/>
    <w:rsid w:val="006E36C7"/>
    <w:rsid w:val="006F2777"/>
    <w:rsid w:val="006F2D9A"/>
    <w:rsid w:val="006F4A22"/>
    <w:rsid w:val="006F65B5"/>
    <w:rsid w:val="006F7837"/>
    <w:rsid w:val="00701AFB"/>
    <w:rsid w:val="007051E8"/>
    <w:rsid w:val="00716AA3"/>
    <w:rsid w:val="00726B10"/>
    <w:rsid w:val="00726E4B"/>
    <w:rsid w:val="007276B4"/>
    <w:rsid w:val="00734B73"/>
    <w:rsid w:val="00740FFC"/>
    <w:rsid w:val="00743E7F"/>
    <w:rsid w:val="00753D38"/>
    <w:rsid w:val="00757AB0"/>
    <w:rsid w:val="007647B4"/>
    <w:rsid w:val="00766D01"/>
    <w:rsid w:val="007701B4"/>
    <w:rsid w:val="00771752"/>
    <w:rsid w:val="0077414D"/>
    <w:rsid w:val="007871E6"/>
    <w:rsid w:val="00790E65"/>
    <w:rsid w:val="0079385E"/>
    <w:rsid w:val="007B6B09"/>
    <w:rsid w:val="007B6C51"/>
    <w:rsid w:val="007E154B"/>
    <w:rsid w:val="007E5BA3"/>
    <w:rsid w:val="008008E1"/>
    <w:rsid w:val="008103F6"/>
    <w:rsid w:val="00812ECA"/>
    <w:rsid w:val="008138C7"/>
    <w:rsid w:val="0081472D"/>
    <w:rsid w:val="00817302"/>
    <w:rsid w:val="00817B0A"/>
    <w:rsid w:val="00826EE5"/>
    <w:rsid w:val="00834FDD"/>
    <w:rsid w:val="00835D6E"/>
    <w:rsid w:val="00836F67"/>
    <w:rsid w:val="008429BE"/>
    <w:rsid w:val="008467E4"/>
    <w:rsid w:val="00847350"/>
    <w:rsid w:val="00847696"/>
    <w:rsid w:val="008513B2"/>
    <w:rsid w:val="00852534"/>
    <w:rsid w:val="00853240"/>
    <w:rsid w:val="00853979"/>
    <w:rsid w:val="00855E06"/>
    <w:rsid w:val="008571F7"/>
    <w:rsid w:val="00860730"/>
    <w:rsid w:val="00861CC4"/>
    <w:rsid w:val="0086687E"/>
    <w:rsid w:val="008675DF"/>
    <w:rsid w:val="00867A72"/>
    <w:rsid w:val="00871FF7"/>
    <w:rsid w:val="00875A6E"/>
    <w:rsid w:val="008834E6"/>
    <w:rsid w:val="00895D45"/>
    <w:rsid w:val="00897DFF"/>
    <w:rsid w:val="008A09E6"/>
    <w:rsid w:val="008A21D8"/>
    <w:rsid w:val="008A4B5D"/>
    <w:rsid w:val="008A622B"/>
    <w:rsid w:val="008A6E75"/>
    <w:rsid w:val="008B02DF"/>
    <w:rsid w:val="008C3EAC"/>
    <w:rsid w:val="008D0FCE"/>
    <w:rsid w:val="008D10D2"/>
    <w:rsid w:val="008D4C11"/>
    <w:rsid w:val="008E0407"/>
    <w:rsid w:val="008E2325"/>
    <w:rsid w:val="008E5914"/>
    <w:rsid w:val="008F34E4"/>
    <w:rsid w:val="00915809"/>
    <w:rsid w:val="00926AE8"/>
    <w:rsid w:val="00926D23"/>
    <w:rsid w:val="009328E5"/>
    <w:rsid w:val="00933FAD"/>
    <w:rsid w:val="00937C58"/>
    <w:rsid w:val="009561DC"/>
    <w:rsid w:val="00970382"/>
    <w:rsid w:val="00970E29"/>
    <w:rsid w:val="00974F56"/>
    <w:rsid w:val="0097504D"/>
    <w:rsid w:val="00984661"/>
    <w:rsid w:val="00991A6B"/>
    <w:rsid w:val="00992128"/>
    <w:rsid w:val="00992CF6"/>
    <w:rsid w:val="00993627"/>
    <w:rsid w:val="00993E37"/>
    <w:rsid w:val="00997DBC"/>
    <w:rsid w:val="009A2341"/>
    <w:rsid w:val="009A7C11"/>
    <w:rsid w:val="009B0A3F"/>
    <w:rsid w:val="009B14AE"/>
    <w:rsid w:val="009B3E14"/>
    <w:rsid w:val="009B695B"/>
    <w:rsid w:val="009C1C05"/>
    <w:rsid w:val="009C1F0C"/>
    <w:rsid w:val="009C2487"/>
    <w:rsid w:val="009C43E6"/>
    <w:rsid w:val="009D5967"/>
    <w:rsid w:val="009E2498"/>
    <w:rsid w:val="009E6269"/>
    <w:rsid w:val="009E74BF"/>
    <w:rsid w:val="009E7B03"/>
    <w:rsid w:val="009F0BB6"/>
    <w:rsid w:val="009F2FCF"/>
    <w:rsid w:val="00A003D5"/>
    <w:rsid w:val="00A05556"/>
    <w:rsid w:val="00A254FB"/>
    <w:rsid w:val="00A270B1"/>
    <w:rsid w:val="00A32998"/>
    <w:rsid w:val="00A36822"/>
    <w:rsid w:val="00A4077B"/>
    <w:rsid w:val="00A41F2C"/>
    <w:rsid w:val="00A434E3"/>
    <w:rsid w:val="00A465C6"/>
    <w:rsid w:val="00A5075B"/>
    <w:rsid w:val="00A54190"/>
    <w:rsid w:val="00A55587"/>
    <w:rsid w:val="00A56A30"/>
    <w:rsid w:val="00A74622"/>
    <w:rsid w:val="00A77920"/>
    <w:rsid w:val="00A817DD"/>
    <w:rsid w:val="00A81E0B"/>
    <w:rsid w:val="00A827B7"/>
    <w:rsid w:val="00A82B18"/>
    <w:rsid w:val="00A843CD"/>
    <w:rsid w:val="00A93CEE"/>
    <w:rsid w:val="00A960E0"/>
    <w:rsid w:val="00A961CE"/>
    <w:rsid w:val="00AA00AB"/>
    <w:rsid w:val="00AA1F1B"/>
    <w:rsid w:val="00AA3EA6"/>
    <w:rsid w:val="00AA750B"/>
    <w:rsid w:val="00AA7D43"/>
    <w:rsid w:val="00AC6514"/>
    <w:rsid w:val="00AD07F3"/>
    <w:rsid w:val="00AD205B"/>
    <w:rsid w:val="00AD20B4"/>
    <w:rsid w:val="00AD3DEA"/>
    <w:rsid w:val="00AE263C"/>
    <w:rsid w:val="00AE72E7"/>
    <w:rsid w:val="00AF346E"/>
    <w:rsid w:val="00B060A8"/>
    <w:rsid w:val="00B228F6"/>
    <w:rsid w:val="00B23DAF"/>
    <w:rsid w:val="00B26D8C"/>
    <w:rsid w:val="00B31F5D"/>
    <w:rsid w:val="00B327D5"/>
    <w:rsid w:val="00B35E45"/>
    <w:rsid w:val="00B40F96"/>
    <w:rsid w:val="00B541C8"/>
    <w:rsid w:val="00B65C3B"/>
    <w:rsid w:val="00B66058"/>
    <w:rsid w:val="00B72A5E"/>
    <w:rsid w:val="00B8167F"/>
    <w:rsid w:val="00B82462"/>
    <w:rsid w:val="00B84425"/>
    <w:rsid w:val="00BA3035"/>
    <w:rsid w:val="00BA3155"/>
    <w:rsid w:val="00BA3DAC"/>
    <w:rsid w:val="00BA4D47"/>
    <w:rsid w:val="00BB75DD"/>
    <w:rsid w:val="00BD1707"/>
    <w:rsid w:val="00BD3D54"/>
    <w:rsid w:val="00BD5045"/>
    <w:rsid w:val="00BD6106"/>
    <w:rsid w:val="00BE4FF2"/>
    <w:rsid w:val="00BE5EB5"/>
    <w:rsid w:val="00BE6537"/>
    <w:rsid w:val="00BF4471"/>
    <w:rsid w:val="00C05947"/>
    <w:rsid w:val="00C14317"/>
    <w:rsid w:val="00C24969"/>
    <w:rsid w:val="00C31190"/>
    <w:rsid w:val="00C35F6E"/>
    <w:rsid w:val="00C37F1D"/>
    <w:rsid w:val="00C43956"/>
    <w:rsid w:val="00C456AF"/>
    <w:rsid w:val="00C529C9"/>
    <w:rsid w:val="00C6082F"/>
    <w:rsid w:val="00C74CCF"/>
    <w:rsid w:val="00C8658A"/>
    <w:rsid w:val="00C94D43"/>
    <w:rsid w:val="00C96CB4"/>
    <w:rsid w:val="00CA2EFC"/>
    <w:rsid w:val="00CA3FC0"/>
    <w:rsid w:val="00CA5F40"/>
    <w:rsid w:val="00CB15C9"/>
    <w:rsid w:val="00CB531C"/>
    <w:rsid w:val="00CB7DC1"/>
    <w:rsid w:val="00CC5469"/>
    <w:rsid w:val="00CC7BA2"/>
    <w:rsid w:val="00CD22FD"/>
    <w:rsid w:val="00CD2485"/>
    <w:rsid w:val="00CE4B1C"/>
    <w:rsid w:val="00CE5C7C"/>
    <w:rsid w:val="00CF46C5"/>
    <w:rsid w:val="00CF572E"/>
    <w:rsid w:val="00D01A88"/>
    <w:rsid w:val="00D01F54"/>
    <w:rsid w:val="00D03553"/>
    <w:rsid w:val="00D0404D"/>
    <w:rsid w:val="00D22CAB"/>
    <w:rsid w:val="00D238B4"/>
    <w:rsid w:val="00D2654F"/>
    <w:rsid w:val="00D31614"/>
    <w:rsid w:val="00D3585E"/>
    <w:rsid w:val="00D36291"/>
    <w:rsid w:val="00D45279"/>
    <w:rsid w:val="00D45B13"/>
    <w:rsid w:val="00D46B67"/>
    <w:rsid w:val="00D56CFD"/>
    <w:rsid w:val="00D7027F"/>
    <w:rsid w:val="00D770D8"/>
    <w:rsid w:val="00D81AB6"/>
    <w:rsid w:val="00D92123"/>
    <w:rsid w:val="00D9214F"/>
    <w:rsid w:val="00DA5CB5"/>
    <w:rsid w:val="00DC2B2A"/>
    <w:rsid w:val="00DC3566"/>
    <w:rsid w:val="00DD022B"/>
    <w:rsid w:val="00DD0CA9"/>
    <w:rsid w:val="00DD568B"/>
    <w:rsid w:val="00DE0D95"/>
    <w:rsid w:val="00DE65E6"/>
    <w:rsid w:val="00DF20F9"/>
    <w:rsid w:val="00DF3297"/>
    <w:rsid w:val="00DF5961"/>
    <w:rsid w:val="00DF7884"/>
    <w:rsid w:val="00E0203C"/>
    <w:rsid w:val="00E02E8F"/>
    <w:rsid w:val="00E10077"/>
    <w:rsid w:val="00E11275"/>
    <w:rsid w:val="00E12F47"/>
    <w:rsid w:val="00E15ECD"/>
    <w:rsid w:val="00E27379"/>
    <w:rsid w:val="00E47492"/>
    <w:rsid w:val="00E56220"/>
    <w:rsid w:val="00E652E0"/>
    <w:rsid w:val="00E80202"/>
    <w:rsid w:val="00E8371C"/>
    <w:rsid w:val="00E85EB8"/>
    <w:rsid w:val="00E87BD9"/>
    <w:rsid w:val="00E916DA"/>
    <w:rsid w:val="00E92F03"/>
    <w:rsid w:val="00E94D8D"/>
    <w:rsid w:val="00E966E8"/>
    <w:rsid w:val="00E974CC"/>
    <w:rsid w:val="00EA5E22"/>
    <w:rsid w:val="00EB5AE1"/>
    <w:rsid w:val="00EC1F8F"/>
    <w:rsid w:val="00ED68AD"/>
    <w:rsid w:val="00EE2358"/>
    <w:rsid w:val="00EE379A"/>
    <w:rsid w:val="00EE4ACB"/>
    <w:rsid w:val="00EF3416"/>
    <w:rsid w:val="00EF427D"/>
    <w:rsid w:val="00F0321E"/>
    <w:rsid w:val="00F10FD2"/>
    <w:rsid w:val="00F36962"/>
    <w:rsid w:val="00F37CE8"/>
    <w:rsid w:val="00F4109A"/>
    <w:rsid w:val="00F466AF"/>
    <w:rsid w:val="00F50694"/>
    <w:rsid w:val="00F625AF"/>
    <w:rsid w:val="00F6383C"/>
    <w:rsid w:val="00F7236E"/>
    <w:rsid w:val="00F72885"/>
    <w:rsid w:val="00F7602D"/>
    <w:rsid w:val="00F827AF"/>
    <w:rsid w:val="00F82AA9"/>
    <w:rsid w:val="00F963BC"/>
    <w:rsid w:val="00F96FD0"/>
    <w:rsid w:val="00FB4683"/>
    <w:rsid w:val="00FC3E0B"/>
    <w:rsid w:val="00FC5A25"/>
    <w:rsid w:val="00FD5883"/>
    <w:rsid w:val="00FE3A4C"/>
    <w:rsid w:val="00FF6699"/>
    <w:rsid w:val="00FF72AE"/>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7"/>
    <w:rPr>
      <w:sz w:val="24"/>
      <w:szCs w:val="24"/>
    </w:rPr>
  </w:style>
  <w:style w:type="paragraph" w:styleId="Heading1">
    <w:name w:val="heading 1"/>
    <w:basedOn w:val="Normal"/>
    <w:next w:val="Normal"/>
    <w:qFormat/>
    <w:rsid w:val="00371EA7"/>
    <w:pPr>
      <w:keepNext/>
      <w:outlineLvl w:val="0"/>
    </w:pPr>
    <w:rPr>
      <w:rFonts w:ascii="Arial" w:hAnsi="Arial" w:cs="Arial"/>
      <w:b/>
      <w:szCs w:val="28"/>
    </w:rPr>
  </w:style>
  <w:style w:type="paragraph" w:styleId="Heading2">
    <w:name w:val="heading 2"/>
    <w:basedOn w:val="Normal"/>
    <w:next w:val="Normal"/>
    <w:qFormat/>
    <w:rsid w:val="00371EA7"/>
    <w:pPr>
      <w:keepNext/>
      <w:jc w:val="center"/>
      <w:outlineLvl w:val="1"/>
    </w:pPr>
    <w:rPr>
      <w:rFonts w:ascii="Arial" w:hAnsi="Arial" w:cs="Arial"/>
      <w:b/>
      <w:bCs/>
      <w:sz w:val="28"/>
    </w:rPr>
  </w:style>
  <w:style w:type="paragraph" w:styleId="Heading3">
    <w:name w:val="heading 3"/>
    <w:basedOn w:val="Normal"/>
    <w:next w:val="Normal"/>
    <w:qFormat/>
    <w:rsid w:val="00371EA7"/>
    <w:pPr>
      <w:keepNext/>
      <w:outlineLvl w:val="2"/>
    </w:pPr>
    <w:rPr>
      <w:rFonts w:ascii="Arial" w:hAnsi="Arial" w:cs="Arial"/>
      <w:b/>
      <w:bCs/>
      <w:u w:val="single"/>
    </w:rPr>
  </w:style>
  <w:style w:type="paragraph" w:styleId="Heading4">
    <w:name w:val="heading 4"/>
    <w:basedOn w:val="Normal"/>
    <w:next w:val="Normal"/>
    <w:qFormat/>
    <w:rsid w:val="00371EA7"/>
    <w:pPr>
      <w:keepNext/>
      <w:jc w:val="center"/>
      <w:outlineLvl w:val="3"/>
    </w:pPr>
    <w:rPr>
      <w:rFonts w:ascii="Arial" w:hAnsi="Arial" w:cs="Arial"/>
      <w:b/>
      <w:bCs/>
      <w:sz w:val="32"/>
    </w:rPr>
  </w:style>
  <w:style w:type="paragraph" w:styleId="Heading5">
    <w:name w:val="heading 5"/>
    <w:basedOn w:val="Normal"/>
    <w:next w:val="Normal"/>
    <w:qFormat/>
    <w:rsid w:val="00371EA7"/>
    <w:pPr>
      <w:keepNext/>
      <w:outlineLvl w:val="4"/>
    </w:pPr>
    <w:rPr>
      <w:rFonts w:ascii="Arial" w:hAnsi="Arial" w:cs="Arial"/>
      <w:b/>
      <w:bCs/>
      <w:sz w:val="28"/>
      <w:szCs w:val="32"/>
    </w:rPr>
  </w:style>
  <w:style w:type="paragraph" w:styleId="Heading6">
    <w:name w:val="heading 6"/>
    <w:basedOn w:val="Normal"/>
    <w:next w:val="Normal"/>
    <w:qFormat/>
    <w:rsid w:val="00371EA7"/>
    <w:pPr>
      <w:keepNext/>
      <w:outlineLvl w:val="5"/>
    </w:pPr>
    <w:rPr>
      <w:rFonts w:ascii="Arial" w:hAnsi="Arial" w:cs="Arial"/>
      <w:b/>
      <w:bCs/>
      <w:sz w:val="32"/>
    </w:rPr>
  </w:style>
  <w:style w:type="paragraph" w:styleId="Heading7">
    <w:name w:val="heading 7"/>
    <w:basedOn w:val="Normal"/>
    <w:next w:val="Normal"/>
    <w:link w:val="Heading7Char"/>
    <w:unhideWhenUsed/>
    <w:qFormat/>
    <w:rsid w:val="00455212"/>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1EA7"/>
    <w:rPr>
      <w:rFonts w:ascii="Arial" w:hAnsi="Arial" w:cs="Arial"/>
      <w:bCs/>
      <w:szCs w:val="28"/>
    </w:rPr>
  </w:style>
  <w:style w:type="paragraph" w:styleId="BodyText2">
    <w:name w:val="Body Text 2"/>
    <w:basedOn w:val="Normal"/>
    <w:semiHidden/>
    <w:rsid w:val="00371EA7"/>
    <w:pPr>
      <w:shd w:val="clear" w:color="auto" w:fill="CCCCCC"/>
    </w:pPr>
    <w:rPr>
      <w:rFonts w:ascii="Arial" w:hAnsi="Arial" w:cs="Arial"/>
      <w:b/>
      <w:bCs/>
      <w:sz w:val="28"/>
    </w:rPr>
  </w:style>
  <w:style w:type="paragraph" w:styleId="Footer">
    <w:name w:val="footer"/>
    <w:basedOn w:val="Normal"/>
    <w:link w:val="FooterChar"/>
    <w:rsid w:val="00371EA7"/>
    <w:pPr>
      <w:tabs>
        <w:tab w:val="center" w:pos="4320"/>
        <w:tab w:val="right" w:pos="8640"/>
      </w:tabs>
    </w:pPr>
  </w:style>
  <w:style w:type="character" w:styleId="PageNumber">
    <w:name w:val="page number"/>
    <w:basedOn w:val="DefaultParagraphFont"/>
    <w:semiHidden/>
    <w:rsid w:val="00371EA7"/>
  </w:style>
  <w:style w:type="paragraph" w:styleId="Header">
    <w:name w:val="header"/>
    <w:basedOn w:val="Normal"/>
    <w:semiHidden/>
    <w:rsid w:val="00371EA7"/>
    <w:pPr>
      <w:tabs>
        <w:tab w:val="center" w:pos="4320"/>
        <w:tab w:val="right" w:pos="8640"/>
      </w:tabs>
    </w:pPr>
  </w:style>
  <w:style w:type="paragraph" w:styleId="Title">
    <w:name w:val="Title"/>
    <w:basedOn w:val="Normal"/>
    <w:qFormat/>
    <w:rsid w:val="00371EA7"/>
    <w:pPr>
      <w:jc w:val="center"/>
    </w:pPr>
    <w:rPr>
      <w:rFonts w:ascii="Arial" w:hAnsi="Arial" w:cs="Arial"/>
      <w:b/>
      <w:bCs/>
      <w:sz w:val="28"/>
    </w:rPr>
  </w:style>
  <w:style w:type="paragraph" w:styleId="Caption">
    <w:name w:val="caption"/>
    <w:basedOn w:val="Normal"/>
    <w:next w:val="Normal"/>
    <w:qFormat/>
    <w:rsid w:val="00371EA7"/>
    <w:pPr>
      <w:jc w:val="center"/>
    </w:pPr>
    <w:rPr>
      <w:rFonts w:ascii="Arial" w:hAnsi="Arial" w:cs="Arial"/>
      <w:b/>
      <w:bCs/>
      <w:sz w:val="28"/>
    </w:rPr>
  </w:style>
  <w:style w:type="paragraph" w:styleId="BalloonText">
    <w:name w:val="Balloon Text"/>
    <w:basedOn w:val="Normal"/>
    <w:semiHidden/>
    <w:rsid w:val="00371EA7"/>
    <w:rPr>
      <w:rFonts w:ascii="Tahoma" w:hAnsi="Tahoma" w:cs="Tahoma"/>
      <w:sz w:val="16"/>
      <w:szCs w:val="16"/>
    </w:rPr>
  </w:style>
  <w:style w:type="paragraph" w:styleId="BodyTextIndent">
    <w:name w:val="Body Text Indent"/>
    <w:basedOn w:val="Normal"/>
    <w:semiHidden/>
    <w:rsid w:val="00371EA7"/>
    <w:pPr>
      <w:spacing w:after="120"/>
      <w:ind w:left="360"/>
    </w:pPr>
  </w:style>
  <w:style w:type="character" w:styleId="Emphasis">
    <w:name w:val="Emphasis"/>
    <w:basedOn w:val="DefaultParagraphFont"/>
    <w:qFormat/>
    <w:rsid w:val="00371EA7"/>
    <w:rPr>
      <w:i/>
      <w:iCs/>
    </w:rPr>
  </w:style>
  <w:style w:type="character" w:customStyle="1" w:styleId="Heading7Char">
    <w:name w:val="Heading 7 Char"/>
    <w:basedOn w:val="DefaultParagraphFont"/>
    <w:link w:val="Heading7"/>
    <w:uiPriority w:val="9"/>
    <w:semiHidden/>
    <w:rsid w:val="00455212"/>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455212"/>
    <w:rPr>
      <w:sz w:val="24"/>
      <w:szCs w:val="24"/>
    </w:rPr>
  </w:style>
  <w:style w:type="paragraph" w:customStyle="1" w:styleId="Normal1">
    <w:name w:val="Normal1"/>
    <w:uiPriority w:val="99"/>
    <w:rsid w:val="005231BA"/>
    <w:rPr>
      <w:color w:val="000000"/>
      <w:sz w:val="24"/>
      <w:szCs w:val="22"/>
    </w:rPr>
  </w:style>
  <w:style w:type="paragraph" w:customStyle="1" w:styleId="2AutoList1">
    <w:name w:val="2AutoList1"/>
    <w:rsid w:val="00766D01"/>
    <w:pPr>
      <w:tabs>
        <w:tab w:val="left" w:pos="720"/>
        <w:tab w:val="left" w:pos="1440"/>
      </w:tabs>
      <w:autoSpaceDE w:val="0"/>
      <w:autoSpaceDN w:val="0"/>
      <w:adjustRightInd w:val="0"/>
      <w:ind w:left="1440" w:hanging="720"/>
    </w:pPr>
    <w:rPr>
      <w:szCs w:val="24"/>
    </w:rPr>
  </w:style>
  <w:style w:type="character" w:styleId="Strong">
    <w:name w:val="Strong"/>
    <w:basedOn w:val="DefaultParagraphFont"/>
    <w:qFormat/>
    <w:rsid w:val="009D5967"/>
    <w:rPr>
      <w:b/>
      <w:bCs/>
    </w:rPr>
  </w:style>
  <w:style w:type="paragraph" w:styleId="NormalWeb">
    <w:name w:val="Normal (Web)"/>
    <w:basedOn w:val="Normal"/>
    <w:semiHidden/>
    <w:unhideWhenUsed/>
    <w:rsid w:val="009E74BF"/>
    <w:pPr>
      <w:spacing w:before="100" w:beforeAutospacing="1" w:after="100" w:afterAutospacing="1"/>
    </w:pPr>
  </w:style>
  <w:style w:type="paragraph" w:customStyle="1" w:styleId="Style1">
    <w:name w:val="Style 1"/>
    <w:basedOn w:val="Normal"/>
    <w:uiPriority w:val="99"/>
    <w:rsid w:val="00875A6E"/>
    <w:pPr>
      <w:widowControl w:val="0"/>
      <w:autoSpaceDE w:val="0"/>
      <w:autoSpaceDN w:val="0"/>
      <w:adjustRightInd w:val="0"/>
    </w:pPr>
    <w:rPr>
      <w:rFonts w:eastAsiaTheme="minorEastAsia"/>
      <w:sz w:val="20"/>
      <w:szCs w:val="20"/>
    </w:rPr>
  </w:style>
  <w:style w:type="character" w:customStyle="1" w:styleId="CharacterStyle1">
    <w:name w:val="Character Style 1"/>
    <w:uiPriority w:val="99"/>
    <w:rsid w:val="00875A6E"/>
    <w:rPr>
      <w:sz w:val="20"/>
    </w:rPr>
  </w:style>
  <w:style w:type="paragraph" w:styleId="ListParagraph">
    <w:name w:val="List Paragraph"/>
    <w:basedOn w:val="Normal"/>
    <w:uiPriority w:val="34"/>
    <w:qFormat/>
    <w:rsid w:val="003E65F9"/>
    <w:pPr>
      <w:ind w:left="720"/>
    </w:pPr>
  </w:style>
  <w:style w:type="character" w:styleId="Hyperlink">
    <w:name w:val="Hyperlink"/>
    <w:basedOn w:val="DefaultParagraphFont"/>
    <w:rsid w:val="00DF20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7"/>
    <w:rPr>
      <w:sz w:val="24"/>
      <w:szCs w:val="24"/>
    </w:rPr>
  </w:style>
  <w:style w:type="paragraph" w:styleId="Heading1">
    <w:name w:val="heading 1"/>
    <w:basedOn w:val="Normal"/>
    <w:next w:val="Normal"/>
    <w:qFormat/>
    <w:rsid w:val="00371EA7"/>
    <w:pPr>
      <w:keepNext/>
      <w:outlineLvl w:val="0"/>
    </w:pPr>
    <w:rPr>
      <w:rFonts w:ascii="Arial" w:hAnsi="Arial" w:cs="Arial"/>
      <w:b/>
      <w:szCs w:val="28"/>
    </w:rPr>
  </w:style>
  <w:style w:type="paragraph" w:styleId="Heading2">
    <w:name w:val="heading 2"/>
    <w:basedOn w:val="Normal"/>
    <w:next w:val="Normal"/>
    <w:qFormat/>
    <w:rsid w:val="00371EA7"/>
    <w:pPr>
      <w:keepNext/>
      <w:jc w:val="center"/>
      <w:outlineLvl w:val="1"/>
    </w:pPr>
    <w:rPr>
      <w:rFonts w:ascii="Arial" w:hAnsi="Arial" w:cs="Arial"/>
      <w:b/>
      <w:bCs/>
      <w:sz w:val="28"/>
    </w:rPr>
  </w:style>
  <w:style w:type="paragraph" w:styleId="Heading3">
    <w:name w:val="heading 3"/>
    <w:basedOn w:val="Normal"/>
    <w:next w:val="Normal"/>
    <w:qFormat/>
    <w:rsid w:val="00371EA7"/>
    <w:pPr>
      <w:keepNext/>
      <w:outlineLvl w:val="2"/>
    </w:pPr>
    <w:rPr>
      <w:rFonts w:ascii="Arial" w:hAnsi="Arial" w:cs="Arial"/>
      <w:b/>
      <w:bCs/>
      <w:u w:val="single"/>
    </w:rPr>
  </w:style>
  <w:style w:type="paragraph" w:styleId="Heading4">
    <w:name w:val="heading 4"/>
    <w:basedOn w:val="Normal"/>
    <w:next w:val="Normal"/>
    <w:qFormat/>
    <w:rsid w:val="00371EA7"/>
    <w:pPr>
      <w:keepNext/>
      <w:jc w:val="center"/>
      <w:outlineLvl w:val="3"/>
    </w:pPr>
    <w:rPr>
      <w:rFonts w:ascii="Arial" w:hAnsi="Arial" w:cs="Arial"/>
      <w:b/>
      <w:bCs/>
      <w:sz w:val="32"/>
    </w:rPr>
  </w:style>
  <w:style w:type="paragraph" w:styleId="Heading5">
    <w:name w:val="heading 5"/>
    <w:basedOn w:val="Normal"/>
    <w:next w:val="Normal"/>
    <w:qFormat/>
    <w:rsid w:val="00371EA7"/>
    <w:pPr>
      <w:keepNext/>
      <w:outlineLvl w:val="4"/>
    </w:pPr>
    <w:rPr>
      <w:rFonts w:ascii="Arial" w:hAnsi="Arial" w:cs="Arial"/>
      <w:b/>
      <w:bCs/>
      <w:sz w:val="28"/>
      <w:szCs w:val="32"/>
    </w:rPr>
  </w:style>
  <w:style w:type="paragraph" w:styleId="Heading6">
    <w:name w:val="heading 6"/>
    <w:basedOn w:val="Normal"/>
    <w:next w:val="Normal"/>
    <w:qFormat/>
    <w:rsid w:val="00371EA7"/>
    <w:pPr>
      <w:keepNext/>
      <w:outlineLvl w:val="5"/>
    </w:pPr>
    <w:rPr>
      <w:rFonts w:ascii="Arial" w:hAnsi="Arial" w:cs="Arial"/>
      <w:b/>
      <w:bCs/>
      <w:sz w:val="32"/>
    </w:rPr>
  </w:style>
  <w:style w:type="paragraph" w:styleId="Heading7">
    <w:name w:val="heading 7"/>
    <w:basedOn w:val="Normal"/>
    <w:next w:val="Normal"/>
    <w:link w:val="Heading7Char"/>
    <w:unhideWhenUsed/>
    <w:qFormat/>
    <w:rsid w:val="00455212"/>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1EA7"/>
    <w:rPr>
      <w:rFonts w:ascii="Arial" w:hAnsi="Arial" w:cs="Arial"/>
      <w:bCs/>
      <w:szCs w:val="28"/>
    </w:rPr>
  </w:style>
  <w:style w:type="paragraph" w:styleId="BodyText2">
    <w:name w:val="Body Text 2"/>
    <w:basedOn w:val="Normal"/>
    <w:semiHidden/>
    <w:rsid w:val="00371EA7"/>
    <w:pPr>
      <w:shd w:val="clear" w:color="auto" w:fill="CCCCCC"/>
    </w:pPr>
    <w:rPr>
      <w:rFonts w:ascii="Arial" w:hAnsi="Arial" w:cs="Arial"/>
      <w:b/>
      <w:bCs/>
      <w:sz w:val="28"/>
    </w:rPr>
  </w:style>
  <w:style w:type="paragraph" w:styleId="Footer">
    <w:name w:val="footer"/>
    <w:basedOn w:val="Normal"/>
    <w:link w:val="FooterChar"/>
    <w:rsid w:val="00371EA7"/>
    <w:pPr>
      <w:tabs>
        <w:tab w:val="center" w:pos="4320"/>
        <w:tab w:val="right" w:pos="8640"/>
      </w:tabs>
    </w:pPr>
  </w:style>
  <w:style w:type="character" w:styleId="PageNumber">
    <w:name w:val="page number"/>
    <w:basedOn w:val="DefaultParagraphFont"/>
    <w:semiHidden/>
    <w:rsid w:val="00371EA7"/>
  </w:style>
  <w:style w:type="paragraph" w:styleId="Header">
    <w:name w:val="header"/>
    <w:basedOn w:val="Normal"/>
    <w:semiHidden/>
    <w:rsid w:val="00371EA7"/>
    <w:pPr>
      <w:tabs>
        <w:tab w:val="center" w:pos="4320"/>
        <w:tab w:val="right" w:pos="8640"/>
      </w:tabs>
    </w:pPr>
  </w:style>
  <w:style w:type="paragraph" w:styleId="Title">
    <w:name w:val="Title"/>
    <w:basedOn w:val="Normal"/>
    <w:qFormat/>
    <w:rsid w:val="00371EA7"/>
    <w:pPr>
      <w:jc w:val="center"/>
    </w:pPr>
    <w:rPr>
      <w:rFonts w:ascii="Arial" w:hAnsi="Arial" w:cs="Arial"/>
      <w:b/>
      <w:bCs/>
      <w:sz w:val="28"/>
    </w:rPr>
  </w:style>
  <w:style w:type="paragraph" w:styleId="Caption">
    <w:name w:val="caption"/>
    <w:basedOn w:val="Normal"/>
    <w:next w:val="Normal"/>
    <w:qFormat/>
    <w:rsid w:val="00371EA7"/>
    <w:pPr>
      <w:jc w:val="center"/>
    </w:pPr>
    <w:rPr>
      <w:rFonts w:ascii="Arial" w:hAnsi="Arial" w:cs="Arial"/>
      <w:b/>
      <w:bCs/>
      <w:sz w:val="28"/>
    </w:rPr>
  </w:style>
  <w:style w:type="paragraph" w:styleId="BalloonText">
    <w:name w:val="Balloon Text"/>
    <w:basedOn w:val="Normal"/>
    <w:semiHidden/>
    <w:rsid w:val="00371EA7"/>
    <w:rPr>
      <w:rFonts w:ascii="Tahoma" w:hAnsi="Tahoma" w:cs="Tahoma"/>
      <w:sz w:val="16"/>
      <w:szCs w:val="16"/>
    </w:rPr>
  </w:style>
  <w:style w:type="paragraph" w:styleId="BodyTextIndent">
    <w:name w:val="Body Text Indent"/>
    <w:basedOn w:val="Normal"/>
    <w:semiHidden/>
    <w:rsid w:val="00371EA7"/>
    <w:pPr>
      <w:spacing w:after="120"/>
      <w:ind w:left="360"/>
    </w:pPr>
  </w:style>
  <w:style w:type="character" w:styleId="Emphasis">
    <w:name w:val="Emphasis"/>
    <w:basedOn w:val="DefaultParagraphFont"/>
    <w:qFormat/>
    <w:rsid w:val="00371EA7"/>
    <w:rPr>
      <w:i/>
      <w:iCs/>
    </w:rPr>
  </w:style>
  <w:style w:type="character" w:customStyle="1" w:styleId="Heading7Char">
    <w:name w:val="Heading 7 Char"/>
    <w:basedOn w:val="DefaultParagraphFont"/>
    <w:link w:val="Heading7"/>
    <w:uiPriority w:val="9"/>
    <w:semiHidden/>
    <w:rsid w:val="00455212"/>
    <w:rPr>
      <w:rFonts w:asciiTheme="minorHAnsi" w:eastAsiaTheme="minorEastAsia" w:hAnsiTheme="minorHAnsi" w:cstheme="minorBidi"/>
      <w:sz w:val="24"/>
      <w:szCs w:val="24"/>
    </w:rPr>
  </w:style>
  <w:style w:type="character" w:customStyle="1" w:styleId="FooterChar">
    <w:name w:val="Footer Char"/>
    <w:basedOn w:val="DefaultParagraphFont"/>
    <w:link w:val="Footer"/>
    <w:rsid w:val="00455212"/>
    <w:rPr>
      <w:sz w:val="24"/>
      <w:szCs w:val="24"/>
    </w:rPr>
  </w:style>
  <w:style w:type="paragraph" w:customStyle="1" w:styleId="Normal1">
    <w:name w:val="Normal1"/>
    <w:uiPriority w:val="99"/>
    <w:rsid w:val="005231BA"/>
    <w:rPr>
      <w:color w:val="000000"/>
      <w:sz w:val="24"/>
      <w:szCs w:val="22"/>
    </w:rPr>
  </w:style>
  <w:style w:type="paragraph" w:customStyle="1" w:styleId="2AutoList1">
    <w:name w:val="2AutoList1"/>
    <w:rsid w:val="00766D01"/>
    <w:pPr>
      <w:tabs>
        <w:tab w:val="left" w:pos="720"/>
        <w:tab w:val="left" w:pos="1440"/>
      </w:tabs>
      <w:autoSpaceDE w:val="0"/>
      <w:autoSpaceDN w:val="0"/>
      <w:adjustRightInd w:val="0"/>
      <w:ind w:left="1440" w:hanging="720"/>
    </w:pPr>
    <w:rPr>
      <w:szCs w:val="24"/>
    </w:rPr>
  </w:style>
  <w:style w:type="character" w:styleId="Strong">
    <w:name w:val="Strong"/>
    <w:basedOn w:val="DefaultParagraphFont"/>
    <w:qFormat/>
    <w:rsid w:val="009D5967"/>
    <w:rPr>
      <w:b/>
      <w:bCs/>
    </w:rPr>
  </w:style>
  <w:style w:type="paragraph" w:styleId="NormalWeb">
    <w:name w:val="Normal (Web)"/>
    <w:basedOn w:val="Normal"/>
    <w:semiHidden/>
    <w:unhideWhenUsed/>
    <w:rsid w:val="009E74BF"/>
    <w:pPr>
      <w:spacing w:before="100" w:beforeAutospacing="1" w:after="100" w:afterAutospacing="1"/>
    </w:pPr>
  </w:style>
  <w:style w:type="paragraph" w:customStyle="1" w:styleId="Style1">
    <w:name w:val="Style 1"/>
    <w:basedOn w:val="Normal"/>
    <w:uiPriority w:val="99"/>
    <w:rsid w:val="00875A6E"/>
    <w:pPr>
      <w:widowControl w:val="0"/>
      <w:autoSpaceDE w:val="0"/>
      <w:autoSpaceDN w:val="0"/>
      <w:adjustRightInd w:val="0"/>
    </w:pPr>
    <w:rPr>
      <w:rFonts w:eastAsiaTheme="minorEastAsia"/>
      <w:sz w:val="20"/>
      <w:szCs w:val="20"/>
    </w:rPr>
  </w:style>
  <w:style w:type="character" w:customStyle="1" w:styleId="CharacterStyle1">
    <w:name w:val="Character Style 1"/>
    <w:uiPriority w:val="99"/>
    <w:rsid w:val="00875A6E"/>
    <w:rPr>
      <w:sz w:val="20"/>
    </w:rPr>
  </w:style>
  <w:style w:type="paragraph" w:styleId="ListParagraph">
    <w:name w:val="List Paragraph"/>
    <w:basedOn w:val="Normal"/>
    <w:uiPriority w:val="34"/>
    <w:qFormat/>
    <w:rsid w:val="003E65F9"/>
    <w:pPr>
      <w:ind w:left="720"/>
    </w:pPr>
  </w:style>
  <w:style w:type="character" w:styleId="Hyperlink">
    <w:name w:val="Hyperlink"/>
    <w:basedOn w:val="DefaultParagraphFont"/>
    <w:rsid w:val="00DF2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3701">
      <w:bodyDiv w:val="1"/>
      <w:marLeft w:val="0"/>
      <w:marRight w:val="0"/>
      <w:marTop w:val="0"/>
      <w:marBottom w:val="0"/>
      <w:divBdr>
        <w:top w:val="none" w:sz="0" w:space="0" w:color="auto"/>
        <w:left w:val="none" w:sz="0" w:space="0" w:color="auto"/>
        <w:bottom w:val="none" w:sz="0" w:space="0" w:color="auto"/>
        <w:right w:val="none" w:sz="0" w:space="0" w:color="auto"/>
      </w:divBdr>
    </w:div>
    <w:div w:id="1193761086">
      <w:bodyDiv w:val="1"/>
      <w:marLeft w:val="0"/>
      <w:marRight w:val="0"/>
      <w:marTop w:val="0"/>
      <w:marBottom w:val="0"/>
      <w:divBdr>
        <w:top w:val="none" w:sz="0" w:space="0" w:color="auto"/>
        <w:left w:val="none" w:sz="0" w:space="0" w:color="auto"/>
        <w:bottom w:val="none" w:sz="0" w:space="0" w:color="auto"/>
        <w:right w:val="none" w:sz="0" w:space="0" w:color="auto"/>
      </w:divBdr>
    </w:div>
    <w:div w:id="1427774249">
      <w:bodyDiv w:val="1"/>
      <w:marLeft w:val="0"/>
      <w:marRight w:val="0"/>
      <w:marTop w:val="0"/>
      <w:marBottom w:val="0"/>
      <w:divBdr>
        <w:top w:val="none" w:sz="0" w:space="0" w:color="auto"/>
        <w:left w:val="none" w:sz="0" w:space="0" w:color="auto"/>
        <w:bottom w:val="none" w:sz="0" w:space="0" w:color="auto"/>
        <w:right w:val="none" w:sz="0" w:space="0" w:color="auto"/>
      </w:divBdr>
    </w:div>
    <w:div w:id="14748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ms.hhs.gov/bn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E090D595BDE4C900C6B022468D4AD" ma:contentTypeVersion="0" ma:contentTypeDescription="Create a new document." ma:contentTypeScope="" ma:versionID="414ac3890edbb50e50b7d49e254d03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490B-B14D-4615-A80A-CE1C16B34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B71132-0AA7-4DC6-9AFD-BA9A7B013BB6}">
  <ds:schemaRefs>
    <ds:schemaRef ds:uri="http://schemas.microsoft.com/sharepoint/v3/contenttype/forms"/>
  </ds:schemaRefs>
</ds:datastoreItem>
</file>

<file path=customXml/itemProps3.xml><?xml version="1.0" encoding="utf-8"?>
<ds:datastoreItem xmlns:ds="http://schemas.openxmlformats.org/officeDocument/2006/customXml" ds:itemID="{112FEF46-6FF1-4CB2-B55B-0ADFD3DF03DF}">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1E3E09D-B662-47F7-B096-25BC34B1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X ]  Interdepartmental Manual</vt:lpstr>
    </vt:vector>
  </TitlesOfParts>
  <Company>St Johns Hospital</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X ]  Interdepartmental Manual</dc:title>
  <dc:creator>barb</dc:creator>
  <cp:lastModifiedBy>Jennifer Wagner</cp:lastModifiedBy>
  <cp:revision>2</cp:revision>
  <cp:lastPrinted>2015-03-19T15:46:00Z</cp:lastPrinted>
  <dcterms:created xsi:type="dcterms:W3CDTF">2016-05-18T16:42:00Z</dcterms:created>
  <dcterms:modified xsi:type="dcterms:W3CDTF">2016-05-18T16:42:00Z</dcterms:modified>
</cp:coreProperties>
</file>