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DC" w:rsidRPr="003B43FE" w:rsidRDefault="009E4BDC" w:rsidP="008E2A21">
      <w:pPr>
        <w:jc w:val="center"/>
        <w:rPr>
          <w:rFonts w:ascii="Arial" w:hAnsi="Arial" w:cs="Arial"/>
          <w:sz w:val="20"/>
          <w:szCs w:val="20"/>
        </w:rPr>
      </w:pPr>
      <w:bookmarkStart w:id="0" w:name="_GoBack"/>
      <w:bookmarkEnd w:id="0"/>
    </w:p>
    <w:p w:rsidR="00294AAB" w:rsidRPr="003B43FE" w:rsidRDefault="00294AAB" w:rsidP="00294AAB">
      <w:pPr>
        <w:rPr>
          <w:rFonts w:ascii="Arial" w:hAnsi="Arial" w:cs="Arial"/>
          <w:b/>
          <w:sz w:val="20"/>
          <w:szCs w:val="20"/>
        </w:rPr>
      </w:pPr>
    </w:p>
    <w:p w:rsidR="009746D5" w:rsidRPr="003B43FE" w:rsidRDefault="009746D5" w:rsidP="003B43FE">
      <w:pPr>
        <w:pBdr>
          <w:top w:val="thickThinSmallGap" w:sz="24" w:space="2" w:color="auto"/>
          <w:left w:val="thickThinSmallGap" w:sz="24" w:space="4" w:color="auto"/>
          <w:bottom w:val="thinThickSmallGap" w:sz="24" w:space="1" w:color="auto"/>
          <w:right w:val="thinThickSmallGap" w:sz="24" w:space="4" w:color="auto"/>
        </w:pBdr>
        <w:outlineLvl w:val="0"/>
        <w:rPr>
          <w:rFonts w:ascii="Arial" w:hAnsi="Arial" w:cs="Arial"/>
          <w:b/>
        </w:rPr>
      </w:pPr>
    </w:p>
    <w:p w:rsidR="0005300E" w:rsidRDefault="003B43FE" w:rsidP="003B43FE">
      <w:pPr>
        <w:pBdr>
          <w:top w:val="thickThinSmallGap" w:sz="24" w:space="2" w:color="auto"/>
          <w:left w:val="thickThinSmallGap" w:sz="24" w:space="4" w:color="auto"/>
          <w:bottom w:val="thinThickSmallGap" w:sz="24" w:space="1" w:color="auto"/>
          <w:right w:val="thinThickSmallGap" w:sz="24" w:space="4" w:color="auto"/>
        </w:pBdr>
        <w:ind w:left="1080" w:hanging="1080"/>
        <w:outlineLvl w:val="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Policy Name</w:t>
      </w:r>
      <w:r w:rsidR="00C56E84" w:rsidRPr="003B43FE">
        <w:rPr>
          <w:rFonts w:ascii="Arial" w:hAnsi="Arial" w:cs="Arial"/>
          <w:b/>
        </w:rPr>
        <w:t>:</w:t>
      </w:r>
      <w:r w:rsidR="004B2128" w:rsidRPr="003B43FE">
        <w:rPr>
          <w:rFonts w:ascii="Arial" w:hAnsi="Arial" w:cs="Arial"/>
          <w:b/>
        </w:rPr>
        <w:t xml:space="preserve"> </w:t>
      </w:r>
      <w:r w:rsidR="0005300E">
        <w:rPr>
          <w:rFonts w:ascii="Arial" w:hAnsi="Arial" w:cs="Arial"/>
          <w:b/>
        </w:rPr>
        <w:t xml:space="preserve">  Drug Supply Chain Security </w:t>
      </w:r>
    </w:p>
    <w:p w:rsidR="00EA70B8" w:rsidRPr="003B43FE" w:rsidRDefault="0005300E" w:rsidP="003B43FE">
      <w:pPr>
        <w:pBdr>
          <w:top w:val="thickThinSmallGap" w:sz="24" w:space="2" w:color="auto"/>
          <w:left w:val="thickThinSmallGap" w:sz="24" w:space="4" w:color="auto"/>
          <w:bottom w:val="thinThickSmallGap" w:sz="24" w:space="1" w:color="auto"/>
          <w:right w:val="thinThickSmallGap" w:sz="24" w:space="4" w:color="auto"/>
        </w:pBdr>
        <w:ind w:left="1080" w:hanging="1080"/>
        <w:outlineLvl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Act – Title II (DSCSA)</w:t>
      </w:r>
    </w:p>
    <w:p w:rsidR="00DB540A" w:rsidRPr="003B43FE" w:rsidRDefault="0060409C" w:rsidP="003B43FE">
      <w:pPr>
        <w:pBdr>
          <w:top w:val="thickThinSmallGap" w:sz="24" w:space="2" w:color="auto"/>
          <w:left w:val="thickThinSmallGap" w:sz="24" w:space="4" w:color="auto"/>
          <w:bottom w:val="thinThickSmallGap" w:sz="24" w:space="1" w:color="auto"/>
          <w:right w:val="thinThickSmallGap" w:sz="24" w:space="4" w:color="auto"/>
        </w:pBdr>
        <w:ind w:left="1080" w:hanging="1080"/>
        <w:outlineLvl w:val="0"/>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200025</wp:posOffset>
                </wp:positionH>
                <wp:positionV relativeFrom="paragraph">
                  <wp:posOffset>10160</wp:posOffset>
                </wp:positionV>
                <wp:extent cx="2125345" cy="758825"/>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75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3FE" w:rsidRDefault="0060409C">
                            <w:r>
                              <w:rPr>
                                <w:noProof/>
                              </w:rPr>
                              <w:drawing>
                                <wp:inline distT="0" distB="0" distL="0" distR="0">
                                  <wp:extent cx="1943100" cy="666750"/>
                                  <wp:effectExtent l="0" t="0" r="0" b="0"/>
                                  <wp:docPr id="1" name="Picture 1" descr="LHC-2012-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2012-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666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75pt;margin-top:.8pt;width:167.35pt;height:59.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" stroked="f">
                <v:textbox style="mso-fit-shape-to-text:t">
                  <w:txbxContent>
                    <w:p w:rsidR="003B43FE" w:rsidRDefault="0060409C">
                      <w:r>
                        <w:rPr>
                          <w:noProof/>
                        </w:rPr>
                        <w:drawing>
                          <wp:inline distT="0" distB="0" distL="0" distR="0">
                            <wp:extent cx="1943100" cy="666750"/>
                            <wp:effectExtent l="0" t="0" r="0" b="0"/>
                            <wp:docPr id="1" name="Picture 1" descr="LHC-2012-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2012-logo-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666750"/>
                                    </a:xfrm>
                                    <a:prstGeom prst="rect">
                                      <a:avLst/>
                                    </a:prstGeom>
                                    <a:noFill/>
                                    <a:ln>
                                      <a:noFill/>
                                    </a:ln>
                                  </pic:spPr>
                                </pic:pic>
                              </a:graphicData>
                            </a:graphic>
                          </wp:inline>
                        </w:drawing>
                      </w:r>
                    </w:p>
                  </w:txbxContent>
                </v:textbox>
              </v:shape>
            </w:pict>
          </mc:Fallback>
        </mc:AlternateContent>
      </w:r>
    </w:p>
    <w:p w:rsidR="003B43FE" w:rsidRDefault="003B43FE" w:rsidP="003B43FE">
      <w:pPr>
        <w:pBdr>
          <w:top w:val="thickThinSmallGap" w:sz="24" w:space="2" w:color="auto"/>
          <w:left w:val="thickThinSmallGap" w:sz="24" w:space="4" w:color="auto"/>
          <w:bottom w:val="thinThickSmallGap" w:sz="24" w:space="1" w:color="auto"/>
          <w:right w:val="thinThickSmallGap" w:sz="24" w:space="4" w:color="auto"/>
        </w:pBdr>
        <w:tabs>
          <w:tab w:val="left" w:pos="4320"/>
        </w:tabs>
        <w:outlineLvl w:val="0"/>
        <w:rPr>
          <w:rFonts w:ascii="Arial" w:hAnsi="Arial" w:cs="Arial"/>
          <w:b/>
        </w:rPr>
      </w:pPr>
      <w:r>
        <w:rPr>
          <w:rFonts w:ascii="Arial" w:hAnsi="Arial" w:cs="Arial"/>
          <w:b/>
        </w:rPr>
        <w:tab/>
        <w:t>Policy</w:t>
      </w:r>
      <w:r w:rsidR="004B2128" w:rsidRPr="003B43FE">
        <w:rPr>
          <w:rFonts w:ascii="Arial" w:hAnsi="Arial" w:cs="Arial"/>
          <w:b/>
        </w:rPr>
        <w:t xml:space="preserve"> N</w:t>
      </w:r>
      <w:r>
        <w:rPr>
          <w:rFonts w:ascii="Arial" w:hAnsi="Arial" w:cs="Arial"/>
          <w:b/>
        </w:rPr>
        <w:t>umber</w:t>
      </w:r>
      <w:r w:rsidR="004B2128" w:rsidRPr="003B43FE">
        <w:rPr>
          <w:rFonts w:ascii="Arial" w:hAnsi="Arial" w:cs="Arial"/>
          <w:b/>
        </w:rPr>
        <w:t>:</w:t>
      </w:r>
      <w:r w:rsidR="008E2A21" w:rsidRPr="003B43FE">
        <w:rPr>
          <w:rFonts w:ascii="Arial" w:hAnsi="Arial" w:cs="Arial"/>
          <w:b/>
        </w:rPr>
        <w:tab/>
      </w:r>
      <w:r w:rsidR="0005300E">
        <w:rPr>
          <w:rFonts w:ascii="Arial" w:hAnsi="Arial" w:cs="Arial"/>
          <w:b/>
        </w:rPr>
        <w:t>4270-315</w:t>
      </w:r>
    </w:p>
    <w:p w:rsidR="003B43FE" w:rsidRDefault="003B43FE" w:rsidP="003B43FE">
      <w:pPr>
        <w:pBdr>
          <w:top w:val="thickThinSmallGap" w:sz="24" w:space="2" w:color="auto"/>
          <w:left w:val="thickThinSmallGap" w:sz="24" w:space="4" w:color="auto"/>
          <w:bottom w:val="thinThickSmallGap" w:sz="24" w:space="1" w:color="auto"/>
          <w:right w:val="thinThickSmallGap" w:sz="24" w:space="4" w:color="auto"/>
        </w:pBdr>
        <w:tabs>
          <w:tab w:val="left" w:pos="4320"/>
        </w:tabs>
        <w:outlineLvl w:val="0"/>
        <w:rPr>
          <w:rFonts w:ascii="Arial" w:hAnsi="Arial" w:cs="Arial"/>
          <w:b/>
        </w:rPr>
      </w:pPr>
      <w:r>
        <w:rPr>
          <w:rFonts w:ascii="Arial" w:hAnsi="Arial" w:cs="Arial"/>
          <w:b/>
        </w:rPr>
        <w:tab/>
      </w:r>
    </w:p>
    <w:p w:rsidR="00294AAB" w:rsidRPr="003B43FE" w:rsidRDefault="003B43FE" w:rsidP="003B43FE">
      <w:pPr>
        <w:pBdr>
          <w:top w:val="thickThinSmallGap" w:sz="24" w:space="2" w:color="auto"/>
          <w:left w:val="thickThinSmallGap" w:sz="24" w:space="4" w:color="auto"/>
          <w:bottom w:val="thinThickSmallGap" w:sz="24" w:space="1" w:color="auto"/>
          <w:right w:val="thinThickSmallGap" w:sz="24" w:space="4" w:color="auto"/>
        </w:pBdr>
        <w:tabs>
          <w:tab w:val="left" w:pos="4320"/>
        </w:tabs>
        <w:outlineLvl w:val="0"/>
        <w:rPr>
          <w:rFonts w:ascii="Arial" w:hAnsi="Arial" w:cs="Arial"/>
          <w:b/>
        </w:rPr>
      </w:pPr>
      <w:r>
        <w:rPr>
          <w:rFonts w:ascii="Arial" w:hAnsi="Arial" w:cs="Arial"/>
          <w:b/>
        </w:rPr>
        <w:tab/>
      </w:r>
      <w:r w:rsidR="003D1079" w:rsidRPr="003B43FE">
        <w:rPr>
          <w:rFonts w:ascii="Arial" w:hAnsi="Arial" w:cs="Arial"/>
          <w:b/>
        </w:rPr>
        <w:t xml:space="preserve">Issuing Department:  </w:t>
      </w:r>
      <w:r w:rsidR="009E4BDC" w:rsidRPr="003B43FE">
        <w:rPr>
          <w:rFonts w:ascii="Arial" w:hAnsi="Arial" w:cs="Arial"/>
          <w:b/>
        </w:rPr>
        <w:t xml:space="preserve"> </w:t>
      </w:r>
      <w:r w:rsidR="0005300E">
        <w:rPr>
          <w:rFonts w:ascii="Arial" w:hAnsi="Arial" w:cs="Arial"/>
          <w:b/>
        </w:rPr>
        <w:t>Pharmacy</w:t>
      </w:r>
    </w:p>
    <w:p w:rsidR="00294AAB" w:rsidRPr="003B43FE" w:rsidRDefault="00294AAB" w:rsidP="003B43FE">
      <w:pPr>
        <w:pBdr>
          <w:top w:val="thickThinSmallGap" w:sz="24" w:space="2" w:color="auto"/>
          <w:left w:val="thickThinSmallGap" w:sz="24" w:space="4" w:color="auto"/>
          <w:bottom w:val="thinThickSmallGap" w:sz="24" w:space="1" w:color="auto"/>
          <w:right w:val="thinThickSmallGap" w:sz="24" w:space="4" w:color="auto"/>
        </w:pBdr>
        <w:rPr>
          <w:rFonts w:ascii="Arial" w:hAnsi="Arial" w:cs="Arial"/>
          <w:b/>
        </w:rPr>
      </w:pPr>
    </w:p>
    <w:p w:rsidR="005F2FAE" w:rsidRPr="003B43FE" w:rsidRDefault="003B43FE" w:rsidP="003B43FE">
      <w:pPr>
        <w:pBdr>
          <w:top w:val="thickThinSmallGap" w:sz="24" w:space="2" w:color="auto"/>
          <w:left w:val="thickThinSmallGap" w:sz="24" w:space="4" w:color="auto"/>
          <w:bottom w:val="thinThickSmallGap" w:sz="24" w:space="1" w:color="auto"/>
          <w:right w:val="thinThickSmallGap" w:sz="24" w:space="4" w:color="auto"/>
        </w:pBdr>
        <w:tabs>
          <w:tab w:val="left" w:pos="4320"/>
        </w:tabs>
        <w:rPr>
          <w:rFonts w:ascii="Arial" w:hAnsi="Arial" w:cs="Arial"/>
          <w:b/>
        </w:rPr>
      </w:pPr>
      <w:r>
        <w:rPr>
          <w:rFonts w:ascii="Arial" w:hAnsi="Arial" w:cs="Arial"/>
          <w:b/>
        </w:rPr>
        <w:tab/>
      </w:r>
      <w:r w:rsidR="00294AAB" w:rsidRPr="003B43FE">
        <w:rPr>
          <w:rFonts w:ascii="Arial" w:hAnsi="Arial" w:cs="Arial"/>
          <w:b/>
        </w:rPr>
        <w:t>Effective Date:</w:t>
      </w:r>
      <w:r w:rsidR="00345248" w:rsidRPr="003B43FE">
        <w:rPr>
          <w:rFonts w:ascii="Arial" w:hAnsi="Arial" w:cs="Arial"/>
          <w:b/>
        </w:rPr>
        <w:tab/>
      </w:r>
      <w:r w:rsidR="0005300E">
        <w:rPr>
          <w:rFonts w:ascii="Arial" w:hAnsi="Arial" w:cs="Arial"/>
          <w:b/>
        </w:rPr>
        <w:t>1/1/2015 (New)</w:t>
      </w:r>
      <w:r w:rsidR="003D1079" w:rsidRPr="003B43FE">
        <w:rPr>
          <w:rFonts w:ascii="Arial" w:hAnsi="Arial" w:cs="Arial"/>
          <w:b/>
        </w:rPr>
        <w:t xml:space="preserve"> </w:t>
      </w:r>
      <w:r w:rsidR="009E4BDC" w:rsidRPr="003B43FE">
        <w:rPr>
          <w:rFonts w:ascii="Arial" w:hAnsi="Arial" w:cs="Arial"/>
          <w:b/>
        </w:rPr>
        <w:t xml:space="preserve">  </w:t>
      </w:r>
    </w:p>
    <w:p w:rsidR="0071049F" w:rsidRPr="003B43FE" w:rsidRDefault="0071049F" w:rsidP="003B43FE">
      <w:pPr>
        <w:pBdr>
          <w:top w:val="thickThinSmallGap" w:sz="24" w:space="2" w:color="auto"/>
          <w:left w:val="thickThinSmallGap" w:sz="24" w:space="4" w:color="auto"/>
          <w:bottom w:val="thinThickSmallGap" w:sz="24" w:space="1" w:color="auto"/>
          <w:right w:val="thinThickSmallGap" w:sz="24" w:space="4" w:color="auto"/>
        </w:pBdr>
        <w:rPr>
          <w:rFonts w:ascii="Arial" w:hAnsi="Arial" w:cs="Arial"/>
          <w:b/>
        </w:rPr>
      </w:pPr>
    </w:p>
    <w:p w:rsidR="00294AAB" w:rsidRPr="003B43FE" w:rsidRDefault="00294AAB">
      <w:pPr>
        <w:rPr>
          <w:rFonts w:ascii="Arial" w:hAnsi="Arial" w:cs="Arial"/>
        </w:rPr>
      </w:pPr>
    </w:p>
    <w:p w:rsidR="00294AAB" w:rsidRDefault="003B43FE" w:rsidP="004C7C75">
      <w:pPr>
        <w:outlineLvl w:val="0"/>
        <w:rPr>
          <w:sz w:val="23"/>
          <w:szCs w:val="23"/>
        </w:rPr>
      </w:pPr>
      <w:r w:rsidRPr="003B43FE">
        <w:rPr>
          <w:rFonts w:ascii="Arial" w:hAnsi="Arial" w:cs="Arial"/>
          <w:b/>
          <w:u w:val="single"/>
        </w:rPr>
        <w:t>Policy Statement</w:t>
      </w:r>
      <w:r w:rsidR="00294AAB" w:rsidRPr="003B43FE">
        <w:rPr>
          <w:rFonts w:ascii="Arial" w:hAnsi="Arial" w:cs="Arial"/>
          <w:b/>
        </w:rPr>
        <w:t>:</w:t>
      </w:r>
      <w:r w:rsidR="00D81127" w:rsidRPr="003B43FE">
        <w:rPr>
          <w:rFonts w:ascii="Arial" w:hAnsi="Arial" w:cs="Arial"/>
          <w:b/>
        </w:rPr>
        <w:t xml:space="preserve"> </w:t>
      </w:r>
      <w:r w:rsidR="0005300E">
        <w:rPr>
          <w:sz w:val="23"/>
          <w:szCs w:val="23"/>
        </w:rPr>
        <w:t>The DSCSA out</w:t>
      </w:r>
      <w:r w:rsidR="008F3115">
        <w:rPr>
          <w:sz w:val="23"/>
          <w:szCs w:val="23"/>
        </w:rPr>
        <w:t>lines critical steps to build a</w:t>
      </w:r>
      <w:r w:rsidR="0005300E">
        <w:rPr>
          <w:sz w:val="23"/>
          <w:szCs w:val="23"/>
        </w:rPr>
        <w:t xml:space="preserve"> system which will identify and trace certain prescription drugs as they are distributed within the United States. This system will enhance FDA’s ability to help protect U.S. consumers by improving detection and removal of potentially dangerous products from the pharmaceutical distribution supply chain.  </w:t>
      </w:r>
    </w:p>
    <w:p w:rsidR="0005300E" w:rsidRPr="003B43FE" w:rsidRDefault="0005300E" w:rsidP="004C7C75">
      <w:pPr>
        <w:outlineLvl w:val="0"/>
        <w:rPr>
          <w:rFonts w:ascii="Arial" w:hAnsi="Arial" w:cs="Arial"/>
          <w:b/>
        </w:rPr>
      </w:pPr>
      <w:r>
        <w:rPr>
          <w:sz w:val="23"/>
          <w:szCs w:val="23"/>
        </w:rPr>
        <w:t>Livingston HealthCare will follow procedures to procure and distribute medications according to the DSCSA Title II.</w:t>
      </w:r>
    </w:p>
    <w:p w:rsidR="003B52B8" w:rsidRPr="003B43FE" w:rsidRDefault="003B52B8" w:rsidP="00294AAB">
      <w:pPr>
        <w:rPr>
          <w:rFonts w:ascii="Arial" w:hAnsi="Arial" w:cs="Arial"/>
        </w:rPr>
      </w:pPr>
    </w:p>
    <w:p w:rsidR="0005300E" w:rsidRDefault="003B43FE" w:rsidP="00294AAB">
      <w:pPr>
        <w:rPr>
          <w:rFonts w:ascii="Arial" w:hAnsi="Arial" w:cs="Arial"/>
        </w:rPr>
      </w:pPr>
      <w:r>
        <w:rPr>
          <w:rFonts w:ascii="Arial" w:hAnsi="Arial" w:cs="Arial"/>
          <w:b/>
          <w:u w:val="single"/>
        </w:rPr>
        <w:t>Definitions:</w:t>
      </w:r>
      <w:r w:rsidR="003B52B8" w:rsidRPr="003B43FE">
        <w:rPr>
          <w:rFonts w:ascii="Arial" w:hAnsi="Arial" w:cs="Arial"/>
        </w:rPr>
        <w:t xml:space="preserve"> </w:t>
      </w:r>
    </w:p>
    <w:p w:rsidR="00B41114" w:rsidRPr="00A20556" w:rsidRDefault="0005300E" w:rsidP="00294AAB">
      <w:r w:rsidRPr="00A20556">
        <w:rPr>
          <w:i/>
          <w:iCs/>
        </w:rPr>
        <w:t xml:space="preserve">Suspect product:  </w:t>
      </w:r>
      <w:r w:rsidRPr="00A20556">
        <w:t>a product for which there is reason to believe it (A) is potentially counterfeit, diverted, or stolen; (B) is potentially intentionally adulterated (C) is potentially the subject of a fraudulent transaction; or (D) appears otherwise unfit for distribution</w:t>
      </w:r>
      <w:r w:rsidR="004745F2" w:rsidRPr="00A20556">
        <w:t xml:space="preserve">.  </w:t>
      </w:r>
    </w:p>
    <w:p w:rsidR="004745F2" w:rsidRPr="00A20556" w:rsidRDefault="004745F2" w:rsidP="00294AAB">
      <w:r w:rsidRPr="00A20556">
        <w:rPr>
          <w:i/>
          <w:iCs/>
        </w:rPr>
        <w:t>Illegitimate product</w:t>
      </w:r>
      <w:r w:rsidR="0060409C">
        <w:rPr>
          <w:i/>
          <w:iCs/>
        </w:rPr>
        <w:t xml:space="preserve">: </w:t>
      </w:r>
      <w:r w:rsidRPr="00A20556">
        <w:rPr>
          <w:i/>
          <w:iCs/>
        </w:rPr>
        <w:t xml:space="preserve"> </w:t>
      </w:r>
      <w:r w:rsidRPr="00A20556">
        <w:t>a product for which credible evidence shows that it is a suspect product</w:t>
      </w:r>
    </w:p>
    <w:p w:rsidR="004745F2" w:rsidRPr="00A20556" w:rsidRDefault="004745F2" w:rsidP="004745F2">
      <w:pPr>
        <w:pStyle w:val="Default"/>
        <w:rPr>
          <w:rFonts w:ascii="Times New Roman" w:hAnsi="Times New Roman" w:cs="Times New Roman"/>
        </w:rPr>
      </w:pPr>
      <w:r w:rsidRPr="00A20556">
        <w:rPr>
          <w:rFonts w:ascii="Times New Roman" w:hAnsi="Times New Roman" w:cs="Times New Roman"/>
          <w:i/>
        </w:rPr>
        <w:t xml:space="preserve">Authorized Trading Partners:  </w:t>
      </w:r>
    </w:p>
    <w:p w:rsidR="004745F2" w:rsidRPr="00A20556" w:rsidRDefault="004745F2" w:rsidP="004745F2">
      <w:pPr>
        <w:pStyle w:val="Default"/>
        <w:numPr>
          <w:ilvl w:val="0"/>
          <w:numId w:val="5"/>
        </w:numPr>
        <w:spacing w:before="3"/>
        <w:rPr>
          <w:rFonts w:ascii="Times New Roman" w:hAnsi="Times New Roman" w:cs="Times New Roman"/>
        </w:rPr>
      </w:pPr>
      <w:r w:rsidRPr="00A20556">
        <w:rPr>
          <w:rFonts w:ascii="Times New Roman" w:hAnsi="Times New Roman" w:cs="Times New Roman"/>
        </w:rPr>
        <w:t xml:space="preserve">Manufacturers/repackagers – valid registration </w:t>
      </w:r>
    </w:p>
    <w:p w:rsidR="004745F2" w:rsidRPr="00A20556" w:rsidRDefault="004745F2" w:rsidP="004745F2">
      <w:pPr>
        <w:pStyle w:val="Default"/>
        <w:numPr>
          <w:ilvl w:val="0"/>
          <w:numId w:val="5"/>
        </w:numPr>
        <w:spacing w:before="3"/>
        <w:rPr>
          <w:rFonts w:ascii="Times New Roman" w:hAnsi="Times New Roman" w:cs="Times New Roman"/>
        </w:rPr>
      </w:pPr>
      <w:r w:rsidRPr="00A20556">
        <w:rPr>
          <w:rFonts w:ascii="Times New Roman" w:hAnsi="Times New Roman" w:cs="Times New Roman"/>
        </w:rPr>
        <w:t xml:space="preserve">Wholesalers/3PL – valid State or Federal license </w:t>
      </w:r>
    </w:p>
    <w:p w:rsidR="004745F2" w:rsidRPr="0060409C" w:rsidRDefault="004745F2" w:rsidP="00294AAB">
      <w:pPr>
        <w:pStyle w:val="Default"/>
        <w:numPr>
          <w:ilvl w:val="0"/>
          <w:numId w:val="5"/>
        </w:numPr>
        <w:spacing w:before="3"/>
        <w:rPr>
          <w:rFonts w:ascii="Times New Roman" w:hAnsi="Times New Roman" w:cs="Times New Roman"/>
          <w:i/>
        </w:rPr>
      </w:pPr>
      <w:r w:rsidRPr="00A20556">
        <w:rPr>
          <w:rFonts w:ascii="Times New Roman" w:hAnsi="Times New Roman" w:cs="Times New Roman"/>
        </w:rPr>
        <w:t xml:space="preserve">Dispenser – valid State license </w:t>
      </w:r>
    </w:p>
    <w:p w:rsidR="004745F2" w:rsidRPr="00A20556" w:rsidRDefault="004745F2" w:rsidP="004745F2">
      <w:pPr>
        <w:pStyle w:val="Default"/>
        <w:rPr>
          <w:rFonts w:ascii="Times New Roman" w:hAnsi="Times New Roman" w:cs="Times New Roman"/>
        </w:rPr>
      </w:pPr>
      <w:r w:rsidRPr="00A20556">
        <w:rPr>
          <w:rFonts w:ascii="Times New Roman" w:hAnsi="Times New Roman" w:cs="Times New Roman"/>
          <w:i/>
        </w:rPr>
        <w:t xml:space="preserve">Covered Products: </w:t>
      </w:r>
      <w:r w:rsidRPr="00A20556">
        <w:rPr>
          <w:rFonts w:ascii="Times New Roman" w:hAnsi="Times New Roman" w:cs="Times New Roman"/>
        </w:rPr>
        <w:t xml:space="preserve">Prescription drug in finished dosage form for administration to a patient without further manufacturing </w:t>
      </w:r>
    </w:p>
    <w:p w:rsidR="004745F2" w:rsidRPr="00A20556" w:rsidRDefault="004745F2" w:rsidP="004745F2">
      <w:pPr>
        <w:pStyle w:val="Default"/>
        <w:rPr>
          <w:rFonts w:ascii="Times New Roman" w:hAnsi="Times New Roman" w:cs="Times New Roman"/>
        </w:rPr>
      </w:pPr>
      <w:r w:rsidRPr="0060409C">
        <w:rPr>
          <w:rFonts w:ascii="Times New Roman" w:hAnsi="Times New Roman" w:cs="Times New Roman"/>
          <w:i/>
        </w:rPr>
        <w:t>Excluded Products</w:t>
      </w:r>
      <w:r w:rsidRPr="00A20556">
        <w:rPr>
          <w:rFonts w:ascii="Times New Roman" w:hAnsi="Times New Roman" w:cs="Times New Roman"/>
        </w:rPr>
        <w:t xml:space="preserve">:  </w:t>
      </w:r>
    </w:p>
    <w:p w:rsidR="004745F2" w:rsidRPr="00A20556" w:rsidRDefault="004745F2" w:rsidP="004745F2">
      <w:pPr>
        <w:pStyle w:val="Default"/>
        <w:numPr>
          <w:ilvl w:val="0"/>
          <w:numId w:val="4"/>
        </w:numPr>
        <w:spacing w:before="3"/>
        <w:rPr>
          <w:rFonts w:ascii="Times New Roman" w:hAnsi="Times New Roman" w:cs="Times New Roman"/>
        </w:rPr>
      </w:pPr>
      <w:r w:rsidRPr="00A20556">
        <w:rPr>
          <w:rFonts w:ascii="Times New Roman" w:hAnsi="Times New Roman" w:cs="Times New Roman"/>
        </w:rPr>
        <w:t xml:space="preserve">Blood or blood components intended for transfusion </w:t>
      </w:r>
    </w:p>
    <w:p w:rsidR="004745F2" w:rsidRPr="00A20556" w:rsidRDefault="004745F2" w:rsidP="004745F2">
      <w:pPr>
        <w:pStyle w:val="Default"/>
        <w:numPr>
          <w:ilvl w:val="0"/>
          <w:numId w:val="4"/>
        </w:numPr>
        <w:spacing w:before="3"/>
        <w:rPr>
          <w:rFonts w:ascii="Times New Roman" w:hAnsi="Times New Roman" w:cs="Times New Roman"/>
        </w:rPr>
      </w:pPr>
      <w:r w:rsidRPr="00A20556">
        <w:rPr>
          <w:rFonts w:ascii="Times New Roman" w:hAnsi="Times New Roman" w:cs="Times New Roman"/>
        </w:rPr>
        <w:t xml:space="preserve">Radioactive drugs or biologics </w:t>
      </w:r>
    </w:p>
    <w:p w:rsidR="004745F2" w:rsidRPr="00A20556" w:rsidRDefault="004745F2" w:rsidP="004745F2">
      <w:pPr>
        <w:pStyle w:val="Default"/>
        <w:numPr>
          <w:ilvl w:val="0"/>
          <w:numId w:val="4"/>
        </w:numPr>
        <w:spacing w:before="3"/>
        <w:rPr>
          <w:rFonts w:ascii="Times New Roman" w:hAnsi="Times New Roman" w:cs="Times New Roman"/>
        </w:rPr>
      </w:pPr>
      <w:r w:rsidRPr="00A20556">
        <w:rPr>
          <w:rFonts w:ascii="Times New Roman" w:hAnsi="Times New Roman" w:cs="Times New Roman"/>
        </w:rPr>
        <w:t xml:space="preserve">Imaging drugs </w:t>
      </w:r>
    </w:p>
    <w:p w:rsidR="004745F2" w:rsidRPr="00A20556" w:rsidRDefault="004745F2" w:rsidP="004745F2">
      <w:pPr>
        <w:pStyle w:val="Default"/>
        <w:numPr>
          <w:ilvl w:val="0"/>
          <w:numId w:val="4"/>
        </w:numPr>
        <w:spacing w:before="3"/>
        <w:rPr>
          <w:rFonts w:ascii="Times New Roman" w:hAnsi="Times New Roman" w:cs="Times New Roman"/>
        </w:rPr>
      </w:pPr>
      <w:r w:rsidRPr="00A20556">
        <w:rPr>
          <w:rFonts w:ascii="Times New Roman" w:hAnsi="Times New Roman" w:cs="Times New Roman"/>
        </w:rPr>
        <w:t xml:space="preserve">Certain IV products </w:t>
      </w:r>
    </w:p>
    <w:p w:rsidR="004745F2" w:rsidRPr="00A20556" w:rsidRDefault="004745F2" w:rsidP="004745F2">
      <w:pPr>
        <w:pStyle w:val="Default"/>
        <w:numPr>
          <w:ilvl w:val="0"/>
          <w:numId w:val="4"/>
        </w:numPr>
        <w:spacing w:before="3"/>
        <w:rPr>
          <w:rFonts w:ascii="Times New Roman" w:hAnsi="Times New Roman" w:cs="Times New Roman"/>
        </w:rPr>
      </w:pPr>
      <w:r w:rsidRPr="00A20556">
        <w:rPr>
          <w:rFonts w:ascii="Times New Roman" w:hAnsi="Times New Roman" w:cs="Times New Roman"/>
        </w:rPr>
        <w:t xml:space="preserve">Medical gas </w:t>
      </w:r>
    </w:p>
    <w:p w:rsidR="004745F2" w:rsidRPr="00A20556" w:rsidRDefault="004745F2" w:rsidP="004745F2">
      <w:pPr>
        <w:pStyle w:val="Default"/>
        <w:numPr>
          <w:ilvl w:val="0"/>
          <w:numId w:val="4"/>
        </w:numPr>
        <w:spacing w:before="3"/>
        <w:rPr>
          <w:rFonts w:ascii="Times New Roman" w:hAnsi="Times New Roman" w:cs="Times New Roman"/>
        </w:rPr>
      </w:pPr>
      <w:r w:rsidRPr="00A20556">
        <w:rPr>
          <w:rFonts w:ascii="Times New Roman" w:hAnsi="Times New Roman" w:cs="Times New Roman"/>
        </w:rPr>
        <w:t xml:space="preserve">Homeopathic drugs </w:t>
      </w:r>
    </w:p>
    <w:p w:rsidR="004745F2" w:rsidRPr="00A20556" w:rsidRDefault="004745F2" w:rsidP="004745F2">
      <w:pPr>
        <w:pStyle w:val="Default"/>
        <w:numPr>
          <w:ilvl w:val="0"/>
          <w:numId w:val="4"/>
        </w:numPr>
        <w:spacing w:before="3"/>
        <w:rPr>
          <w:rFonts w:ascii="Times New Roman" w:hAnsi="Times New Roman" w:cs="Times New Roman"/>
        </w:rPr>
      </w:pPr>
      <w:r w:rsidRPr="00A20556">
        <w:rPr>
          <w:rFonts w:ascii="Times New Roman" w:hAnsi="Times New Roman" w:cs="Times New Roman"/>
        </w:rPr>
        <w:t xml:space="preserve">Compounded drugs </w:t>
      </w:r>
    </w:p>
    <w:p w:rsidR="004745F2" w:rsidRPr="00A20556" w:rsidRDefault="004745F2" w:rsidP="004745F2">
      <w:pPr>
        <w:pStyle w:val="Default"/>
        <w:rPr>
          <w:rFonts w:ascii="Times New Roman" w:hAnsi="Times New Roman" w:cs="Times New Roman"/>
        </w:rPr>
      </w:pPr>
      <w:r w:rsidRPr="0060409C">
        <w:rPr>
          <w:rFonts w:ascii="Times New Roman" w:hAnsi="Times New Roman" w:cs="Times New Roman"/>
          <w:i/>
        </w:rPr>
        <w:t>Transaction</w:t>
      </w:r>
      <w:r w:rsidRPr="00A20556">
        <w:rPr>
          <w:rFonts w:ascii="Times New Roman" w:hAnsi="Times New Roman" w:cs="Times New Roman"/>
        </w:rPr>
        <w:t xml:space="preserve">: Transfer of product where a change of ownership occurs </w:t>
      </w:r>
    </w:p>
    <w:p w:rsidR="004745F2" w:rsidRPr="00A20556" w:rsidRDefault="00294AAB" w:rsidP="004C7C75">
      <w:pPr>
        <w:outlineLvl w:val="0"/>
      </w:pPr>
      <w:r w:rsidRPr="00A20556">
        <w:rPr>
          <w:b/>
          <w:u w:val="single"/>
        </w:rPr>
        <w:t>P</w:t>
      </w:r>
      <w:r w:rsidR="003B43FE" w:rsidRPr="00A20556">
        <w:rPr>
          <w:b/>
          <w:u w:val="single"/>
        </w:rPr>
        <w:t>rocedure</w:t>
      </w:r>
      <w:r w:rsidRPr="00A20556">
        <w:rPr>
          <w:b/>
        </w:rPr>
        <w:t>:</w:t>
      </w:r>
      <w:r w:rsidR="009E4BDC" w:rsidRPr="00A20556">
        <w:rPr>
          <w:b/>
        </w:rPr>
        <w:t xml:space="preserve"> </w:t>
      </w:r>
      <w:r w:rsidR="009E4BDC" w:rsidRPr="00A20556">
        <w:t xml:space="preserve"> </w:t>
      </w:r>
    </w:p>
    <w:p w:rsidR="00B83CED" w:rsidRPr="00A20556" w:rsidRDefault="00B83CED" w:rsidP="004C7C75">
      <w:pPr>
        <w:outlineLvl w:val="0"/>
      </w:pPr>
      <w:r w:rsidRPr="00A20556">
        <w:t>Responsibilities of dispenser (pharmacy):</w:t>
      </w:r>
    </w:p>
    <w:p w:rsidR="00B83CED" w:rsidRPr="00A20556" w:rsidRDefault="00B83CED" w:rsidP="00B83CED">
      <w:pPr>
        <w:numPr>
          <w:ilvl w:val="0"/>
          <w:numId w:val="6"/>
        </w:numPr>
        <w:outlineLvl w:val="0"/>
        <w:rPr>
          <w:color w:val="000000"/>
        </w:rPr>
      </w:pPr>
      <w:r w:rsidRPr="00A20556">
        <w:t>Use only authorized trading partners</w:t>
      </w:r>
    </w:p>
    <w:p w:rsidR="00B83CED" w:rsidRPr="00A20556" w:rsidRDefault="00B83CED" w:rsidP="00B83CED">
      <w:pPr>
        <w:numPr>
          <w:ilvl w:val="0"/>
          <w:numId w:val="6"/>
        </w:numPr>
        <w:outlineLvl w:val="0"/>
      </w:pPr>
      <w:r w:rsidRPr="00A20556">
        <w:t xml:space="preserve">Assure there is </w:t>
      </w:r>
      <w:r w:rsidRPr="00A20556">
        <w:rPr>
          <w:color w:val="000000"/>
        </w:rPr>
        <w:t>Lot-level product tracing: provide transaction information, history, and statement. (beginning 7/1/2015)</w:t>
      </w:r>
    </w:p>
    <w:p w:rsidR="00B83CED" w:rsidRPr="00A20556" w:rsidRDefault="00B83CED" w:rsidP="00B83CED">
      <w:pPr>
        <w:numPr>
          <w:ilvl w:val="0"/>
          <w:numId w:val="6"/>
        </w:numPr>
        <w:outlineLvl w:val="0"/>
      </w:pPr>
      <w:r w:rsidRPr="00A20556">
        <w:t>May sign an agreement for wholesalers and distributors to electronically store this transaction information.</w:t>
      </w:r>
    </w:p>
    <w:p w:rsidR="00B83CED" w:rsidRPr="00A20556" w:rsidRDefault="00B83CED" w:rsidP="00B83CED">
      <w:pPr>
        <w:numPr>
          <w:ilvl w:val="0"/>
          <w:numId w:val="6"/>
        </w:numPr>
        <w:outlineLvl w:val="0"/>
      </w:pPr>
      <w:r w:rsidRPr="00A20556">
        <w:t>Records must be retained for 6 years.</w:t>
      </w:r>
    </w:p>
    <w:p w:rsidR="00B83CED" w:rsidRPr="00A20556" w:rsidRDefault="00B83CED" w:rsidP="00B83CED">
      <w:pPr>
        <w:numPr>
          <w:ilvl w:val="0"/>
          <w:numId w:val="6"/>
        </w:numPr>
        <w:outlineLvl w:val="0"/>
      </w:pPr>
      <w:r w:rsidRPr="00A20556">
        <w:rPr>
          <w:color w:val="000000"/>
        </w:rPr>
        <w:t>Establish systems for verification and handling of suspect or illegitimate product.</w:t>
      </w:r>
    </w:p>
    <w:p w:rsidR="00B83CED" w:rsidRPr="00A20556" w:rsidRDefault="00B83CED" w:rsidP="00B83CED">
      <w:pPr>
        <w:numPr>
          <w:ilvl w:val="1"/>
          <w:numId w:val="6"/>
        </w:numPr>
        <w:outlineLvl w:val="0"/>
      </w:pPr>
      <w:r w:rsidRPr="00A20556">
        <w:t>Upon receiving request or when a product is suspect</w:t>
      </w:r>
    </w:p>
    <w:p w:rsidR="001747AF" w:rsidRPr="00A20556" w:rsidRDefault="00B83CED" w:rsidP="00B83CED">
      <w:pPr>
        <w:numPr>
          <w:ilvl w:val="2"/>
          <w:numId w:val="6"/>
        </w:numPr>
        <w:outlineLvl w:val="0"/>
      </w:pPr>
      <w:r w:rsidRPr="00A20556">
        <w:t xml:space="preserve">Immediately quarantine all product </w:t>
      </w:r>
    </w:p>
    <w:p w:rsidR="001747AF" w:rsidRPr="00A20556" w:rsidRDefault="00B83CED" w:rsidP="001747AF">
      <w:pPr>
        <w:numPr>
          <w:ilvl w:val="3"/>
          <w:numId w:val="6"/>
        </w:numPr>
        <w:outlineLvl w:val="0"/>
      </w:pPr>
      <w:r w:rsidRPr="00A20556">
        <w:t>remove from circulation,</w:t>
      </w:r>
    </w:p>
    <w:p w:rsidR="001747AF" w:rsidRPr="00A20556" w:rsidRDefault="00B83CED" w:rsidP="001747AF">
      <w:pPr>
        <w:numPr>
          <w:ilvl w:val="3"/>
          <w:numId w:val="6"/>
        </w:numPr>
        <w:outlineLvl w:val="0"/>
      </w:pPr>
      <w:r w:rsidRPr="00A20556">
        <w:lastRenderedPageBreak/>
        <w:t>store securely</w:t>
      </w:r>
    </w:p>
    <w:p w:rsidR="00B83CED" w:rsidRPr="00A20556" w:rsidRDefault="00B83CED" w:rsidP="001747AF">
      <w:pPr>
        <w:numPr>
          <w:ilvl w:val="3"/>
          <w:numId w:val="6"/>
        </w:numPr>
        <w:outlineLvl w:val="0"/>
      </w:pPr>
      <w:r w:rsidRPr="00A20556">
        <w:t xml:space="preserve">labeled appropriately – do </w:t>
      </w:r>
      <w:r w:rsidR="001747AF" w:rsidRPr="00A20556">
        <w:t>not use</w:t>
      </w:r>
    </w:p>
    <w:p w:rsidR="00B83CED" w:rsidRPr="00A20556" w:rsidRDefault="00B83CED" w:rsidP="00B83CED">
      <w:pPr>
        <w:numPr>
          <w:ilvl w:val="2"/>
          <w:numId w:val="6"/>
        </w:numPr>
        <w:outlineLvl w:val="0"/>
      </w:pPr>
      <w:r w:rsidRPr="00A20556">
        <w:t>Conduct an investigation</w:t>
      </w:r>
    </w:p>
    <w:p w:rsidR="00B83CED" w:rsidRPr="00A20556" w:rsidRDefault="00B83CED" w:rsidP="00B83CED">
      <w:pPr>
        <w:numPr>
          <w:ilvl w:val="2"/>
          <w:numId w:val="6"/>
        </w:numPr>
        <w:outlineLvl w:val="0"/>
      </w:pPr>
      <w:r w:rsidRPr="00A20556">
        <w:t>Coordinate with other trading partners</w:t>
      </w:r>
      <w:r w:rsidR="001747AF" w:rsidRPr="00A20556">
        <w:t xml:space="preserve"> if necessary</w:t>
      </w:r>
    </w:p>
    <w:p w:rsidR="001747AF" w:rsidRPr="00A20556" w:rsidRDefault="001747AF" w:rsidP="00B83CED">
      <w:pPr>
        <w:numPr>
          <w:ilvl w:val="2"/>
          <w:numId w:val="6"/>
        </w:numPr>
        <w:outlineLvl w:val="0"/>
      </w:pPr>
      <w:r w:rsidRPr="00A20556">
        <w:t>Follow any other instructions provided by the FDA when notified of suspect product.</w:t>
      </w:r>
    </w:p>
    <w:p w:rsidR="001747AF" w:rsidRPr="00A20556" w:rsidRDefault="00B83CED" w:rsidP="00B83CED">
      <w:pPr>
        <w:numPr>
          <w:ilvl w:val="2"/>
          <w:numId w:val="6"/>
        </w:numPr>
        <w:autoSpaceDE w:val="0"/>
        <w:autoSpaceDN w:val="0"/>
        <w:adjustRightInd w:val="0"/>
        <w:outlineLvl w:val="0"/>
        <w:rPr>
          <w:color w:val="000000"/>
        </w:rPr>
      </w:pPr>
      <w:r w:rsidRPr="00A20556">
        <w:t xml:space="preserve">Notify the FDA -  </w:t>
      </w:r>
      <w:r w:rsidR="001747AF" w:rsidRPr="00A20556">
        <w:t xml:space="preserve">if product is determined to be illegitimate </w:t>
      </w:r>
      <w:hyperlink r:id="rId10" w:history="1">
        <w:r w:rsidR="001747AF" w:rsidRPr="00A20556">
          <w:rPr>
            <w:rStyle w:val="Hyperlink"/>
          </w:rPr>
          <w:t>http://www.accessdata.fda.gov/scripts/cder/email/drugnotification.cfm</w:t>
        </w:r>
      </w:hyperlink>
    </w:p>
    <w:p w:rsidR="001747AF" w:rsidRPr="00A20556" w:rsidRDefault="001747AF" w:rsidP="001747AF">
      <w:pPr>
        <w:numPr>
          <w:ilvl w:val="2"/>
          <w:numId w:val="6"/>
        </w:numPr>
        <w:outlineLvl w:val="0"/>
      </w:pPr>
      <w:r w:rsidRPr="00A20556">
        <w:t>Follow instructions on the website and/or form.</w:t>
      </w:r>
    </w:p>
    <w:p w:rsidR="001747AF" w:rsidRPr="00A20556" w:rsidRDefault="001747AF" w:rsidP="001747AF">
      <w:pPr>
        <w:numPr>
          <w:ilvl w:val="2"/>
          <w:numId w:val="6"/>
        </w:numPr>
        <w:outlineLvl w:val="0"/>
      </w:pPr>
      <w:r w:rsidRPr="00A20556">
        <w:t xml:space="preserve">Terminate any notifications to FDA using the following site/form  </w:t>
      </w:r>
    </w:p>
    <w:p w:rsidR="001747AF" w:rsidRPr="00A20556" w:rsidRDefault="001747AF" w:rsidP="001747AF">
      <w:pPr>
        <w:autoSpaceDE w:val="0"/>
        <w:autoSpaceDN w:val="0"/>
        <w:adjustRightInd w:val="0"/>
        <w:ind w:left="1260" w:firstLine="720"/>
        <w:rPr>
          <w:color w:val="000000"/>
        </w:rPr>
      </w:pPr>
      <w:r w:rsidRPr="00A20556">
        <w:rPr>
          <w:color w:val="000000"/>
        </w:rPr>
        <w:t xml:space="preserve">    </w:t>
      </w:r>
      <w:hyperlink r:id="rId11" w:history="1">
        <w:r w:rsidRPr="00A20556">
          <w:rPr>
            <w:rStyle w:val="Hyperlink"/>
          </w:rPr>
          <w:t>http://www.accessdata.fda.gov/scripts/cder/email/drugnotification.cfm</w:t>
        </w:r>
      </w:hyperlink>
    </w:p>
    <w:p w:rsidR="001747AF" w:rsidRPr="00A20556" w:rsidRDefault="001747AF" w:rsidP="001747AF">
      <w:pPr>
        <w:autoSpaceDE w:val="0"/>
        <w:autoSpaceDN w:val="0"/>
        <w:adjustRightInd w:val="0"/>
        <w:ind w:left="1260" w:firstLine="720"/>
        <w:rPr>
          <w:color w:val="000000"/>
        </w:rPr>
      </w:pPr>
    </w:p>
    <w:p w:rsidR="001747AF" w:rsidRPr="00A20556" w:rsidRDefault="001747AF" w:rsidP="001747AF">
      <w:pPr>
        <w:numPr>
          <w:ilvl w:val="0"/>
          <w:numId w:val="6"/>
        </w:numPr>
        <w:autoSpaceDE w:val="0"/>
        <w:autoSpaceDN w:val="0"/>
        <w:adjustRightInd w:val="0"/>
        <w:rPr>
          <w:color w:val="000000"/>
        </w:rPr>
      </w:pPr>
      <w:r w:rsidRPr="00A20556">
        <w:rPr>
          <w:color w:val="000000"/>
        </w:rPr>
        <w:t xml:space="preserve"> How to identify suspect product:</w:t>
      </w:r>
    </w:p>
    <w:p w:rsidR="001747AF" w:rsidRPr="00A20556" w:rsidRDefault="001747AF" w:rsidP="001747AF">
      <w:pPr>
        <w:numPr>
          <w:ilvl w:val="1"/>
          <w:numId w:val="6"/>
        </w:numPr>
        <w:autoSpaceDE w:val="0"/>
        <w:autoSpaceDN w:val="0"/>
        <w:adjustRightInd w:val="0"/>
        <w:rPr>
          <w:color w:val="000000"/>
        </w:rPr>
      </w:pPr>
      <w:r w:rsidRPr="00A20556">
        <w:rPr>
          <w:color w:val="000000"/>
        </w:rPr>
        <w:t>Appearance (product or packaging seems suspiciou</w:t>
      </w:r>
      <w:r w:rsidR="00A20556" w:rsidRPr="00A20556">
        <w:rPr>
          <w:color w:val="000000"/>
        </w:rPr>
        <w:t xml:space="preserve">s- missing information, foreign </w:t>
      </w:r>
      <w:r w:rsidRPr="00A20556">
        <w:rPr>
          <w:color w:val="000000"/>
        </w:rPr>
        <w:t>language on labeling</w:t>
      </w:r>
      <w:r w:rsidR="00A20556" w:rsidRPr="00A20556">
        <w:rPr>
          <w:color w:val="000000"/>
        </w:rPr>
        <w:t>, different product name</w:t>
      </w:r>
      <w:r w:rsidRPr="00A20556">
        <w:rPr>
          <w:color w:val="000000"/>
        </w:rPr>
        <w:t>)</w:t>
      </w:r>
    </w:p>
    <w:p w:rsidR="001747AF" w:rsidRPr="00A20556" w:rsidRDefault="001747AF" w:rsidP="001747AF">
      <w:pPr>
        <w:numPr>
          <w:ilvl w:val="1"/>
          <w:numId w:val="6"/>
        </w:numPr>
        <w:autoSpaceDE w:val="0"/>
        <w:autoSpaceDN w:val="0"/>
        <w:adjustRightInd w:val="0"/>
        <w:rPr>
          <w:color w:val="000000"/>
        </w:rPr>
      </w:pPr>
      <w:r w:rsidRPr="00A20556">
        <w:rPr>
          <w:color w:val="000000"/>
        </w:rPr>
        <w:t>Purchased from unknown source</w:t>
      </w:r>
    </w:p>
    <w:p w:rsidR="001747AF" w:rsidRPr="00A20556" w:rsidRDefault="001747AF" w:rsidP="001747AF">
      <w:pPr>
        <w:numPr>
          <w:ilvl w:val="1"/>
          <w:numId w:val="6"/>
        </w:numPr>
        <w:autoSpaceDE w:val="0"/>
        <w:autoSpaceDN w:val="0"/>
        <w:adjustRightInd w:val="0"/>
        <w:rPr>
          <w:color w:val="000000"/>
        </w:rPr>
      </w:pPr>
      <w:r w:rsidRPr="00A20556">
        <w:rPr>
          <w:color w:val="000000"/>
        </w:rPr>
        <w:t xml:space="preserve">High demand or recent shortage </w:t>
      </w:r>
    </w:p>
    <w:p w:rsidR="001747AF" w:rsidRPr="00A20556" w:rsidRDefault="001747AF" w:rsidP="001747AF">
      <w:pPr>
        <w:numPr>
          <w:ilvl w:val="1"/>
          <w:numId w:val="6"/>
        </w:numPr>
        <w:autoSpaceDE w:val="0"/>
        <w:autoSpaceDN w:val="0"/>
        <w:adjustRightInd w:val="0"/>
        <w:rPr>
          <w:color w:val="000000"/>
        </w:rPr>
      </w:pPr>
      <w:r w:rsidRPr="00A20556">
        <w:rPr>
          <w:color w:val="000000"/>
        </w:rPr>
        <w:t>Unusual pricing</w:t>
      </w:r>
    </w:p>
    <w:p w:rsidR="001747AF" w:rsidRDefault="001747AF" w:rsidP="001747AF">
      <w:pPr>
        <w:numPr>
          <w:ilvl w:val="1"/>
          <w:numId w:val="6"/>
        </w:numPr>
        <w:autoSpaceDE w:val="0"/>
        <w:autoSpaceDN w:val="0"/>
        <w:adjustRightInd w:val="0"/>
        <w:rPr>
          <w:color w:val="000000"/>
        </w:rPr>
      </w:pPr>
      <w:r w:rsidRPr="00A20556">
        <w:rPr>
          <w:color w:val="000000"/>
        </w:rPr>
        <w:t>Previously reported as counterfeit or fraudulent</w:t>
      </w:r>
    </w:p>
    <w:p w:rsidR="00A20556" w:rsidRDefault="00A20556" w:rsidP="00A20556">
      <w:pPr>
        <w:numPr>
          <w:ilvl w:val="0"/>
          <w:numId w:val="6"/>
        </w:numPr>
        <w:autoSpaceDE w:val="0"/>
        <w:autoSpaceDN w:val="0"/>
        <w:adjustRightInd w:val="0"/>
        <w:rPr>
          <w:color w:val="000000"/>
        </w:rPr>
      </w:pPr>
      <w:r>
        <w:rPr>
          <w:color w:val="000000"/>
        </w:rPr>
        <w:t>Exchange of transaction information for any change of ownership (does not include dispensing to a patient pursuant to a prescription)</w:t>
      </w:r>
    </w:p>
    <w:p w:rsidR="00A20556" w:rsidRDefault="00A20556" w:rsidP="00A20556">
      <w:pPr>
        <w:numPr>
          <w:ilvl w:val="1"/>
          <w:numId w:val="6"/>
        </w:numPr>
        <w:autoSpaceDE w:val="0"/>
        <w:autoSpaceDN w:val="0"/>
        <w:adjustRightInd w:val="0"/>
        <w:rPr>
          <w:color w:val="000000"/>
        </w:rPr>
      </w:pPr>
      <w:r>
        <w:rPr>
          <w:color w:val="000000"/>
        </w:rPr>
        <w:t>May be paper or Electronic</w:t>
      </w:r>
    </w:p>
    <w:p w:rsidR="00A20556" w:rsidRDefault="00A20556" w:rsidP="00A20556">
      <w:pPr>
        <w:numPr>
          <w:ilvl w:val="1"/>
          <w:numId w:val="6"/>
        </w:numPr>
        <w:autoSpaceDE w:val="0"/>
        <w:autoSpaceDN w:val="0"/>
        <w:adjustRightInd w:val="0"/>
        <w:rPr>
          <w:color w:val="000000"/>
        </w:rPr>
      </w:pPr>
      <w:r>
        <w:rPr>
          <w:color w:val="000000"/>
        </w:rPr>
        <w:t>Required information</w:t>
      </w:r>
    </w:p>
    <w:p w:rsidR="0060409C" w:rsidRPr="0060409C" w:rsidRDefault="00A20556" w:rsidP="0060409C">
      <w:pPr>
        <w:numPr>
          <w:ilvl w:val="2"/>
          <w:numId w:val="6"/>
        </w:numPr>
        <w:autoSpaceDE w:val="0"/>
        <w:autoSpaceDN w:val="0"/>
        <w:adjustRightInd w:val="0"/>
        <w:ind w:left="1260" w:firstLine="720"/>
        <w:outlineLvl w:val="0"/>
      </w:pPr>
      <w:r w:rsidRPr="0060409C">
        <w:rPr>
          <w:color w:val="000000"/>
        </w:rPr>
        <w:t>Transaction Information</w:t>
      </w:r>
    </w:p>
    <w:p w:rsidR="0060409C" w:rsidRDefault="00A20556" w:rsidP="0060409C">
      <w:pPr>
        <w:numPr>
          <w:ilvl w:val="3"/>
          <w:numId w:val="6"/>
        </w:numPr>
        <w:autoSpaceDE w:val="0"/>
        <w:autoSpaceDN w:val="0"/>
        <w:adjustRightInd w:val="0"/>
        <w:outlineLvl w:val="0"/>
      </w:pPr>
      <w:r>
        <w:t>Proprietary or established name or names of the product</w:t>
      </w:r>
    </w:p>
    <w:p w:rsidR="0060409C" w:rsidRDefault="00A20556" w:rsidP="0060409C">
      <w:pPr>
        <w:numPr>
          <w:ilvl w:val="3"/>
          <w:numId w:val="6"/>
        </w:numPr>
        <w:autoSpaceDE w:val="0"/>
        <w:autoSpaceDN w:val="0"/>
        <w:adjustRightInd w:val="0"/>
        <w:outlineLvl w:val="0"/>
      </w:pPr>
      <w:r>
        <w:t>strength and dosage form</w:t>
      </w:r>
    </w:p>
    <w:p w:rsidR="0060409C" w:rsidRDefault="00A20556" w:rsidP="0060409C">
      <w:pPr>
        <w:numPr>
          <w:ilvl w:val="3"/>
          <w:numId w:val="6"/>
        </w:numPr>
        <w:autoSpaceDE w:val="0"/>
        <w:autoSpaceDN w:val="0"/>
        <w:adjustRightInd w:val="0"/>
        <w:outlineLvl w:val="0"/>
      </w:pPr>
      <w:r>
        <w:t>NDC number</w:t>
      </w:r>
    </w:p>
    <w:p w:rsidR="0060409C" w:rsidRDefault="00A20556" w:rsidP="0060409C">
      <w:pPr>
        <w:numPr>
          <w:ilvl w:val="3"/>
          <w:numId w:val="6"/>
        </w:numPr>
        <w:autoSpaceDE w:val="0"/>
        <w:autoSpaceDN w:val="0"/>
        <w:adjustRightInd w:val="0"/>
        <w:outlineLvl w:val="0"/>
      </w:pPr>
      <w:r>
        <w:t>container size</w:t>
      </w:r>
    </w:p>
    <w:p w:rsidR="0060409C" w:rsidRDefault="00A20556" w:rsidP="0060409C">
      <w:pPr>
        <w:numPr>
          <w:ilvl w:val="3"/>
          <w:numId w:val="6"/>
        </w:numPr>
        <w:autoSpaceDE w:val="0"/>
        <w:autoSpaceDN w:val="0"/>
        <w:adjustRightInd w:val="0"/>
        <w:outlineLvl w:val="0"/>
      </w:pPr>
      <w:r>
        <w:t>number of containers</w:t>
      </w:r>
    </w:p>
    <w:p w:rsidR="0060409C" w:rsidRDefault="00A20556" w:rsidP="0060409C">
      <w:pPr>
        <w:numPr>
          <w:ilvl w:val="3"/>
          <w:numId w:val="6"/>
        </w:numPr>
        <w:autoSpaceDE w:val="0"/>
        <w:autoSpaceDN w:val="0"/>
        <w:adjustRightInd w:val="0"/>
        <w:outlineLvl w:val="0"/>
      </w:pPr>
      <w:r>
        <w:t>lot number</w:t>
      </w:r>
    </w:p>
    <w:p w:rsidR="0060409C" w:rsidRDefault="0060409C" w:rsidP="0060409C">
      <w:pPr>
        <w:numPr>
          <w:ilvl w:val="3"/>
          <w:numId w:val="6"/>
        </w:numPr>
        <w:autoSpaceDE w:val="0"/>
        <w:autoSpaceDN w:val="0"/>
        <w:adjustRightInd w:val="0"/>
        <w:outlineLvl w:val="0"/>
      </w:pPr>
      <w:r>
        <w:t>date of the transaction</w:t>
      </w:r>
    </w:p>
    <w:p w:rsidR="0060409C" w:rsidRDefault="00A20556" w:rsidP="0060409C">
      <w:pPr>
        <w:numPr>
          <w:ilvl w:val="3"/>
          <w:numId w:val="6"/>
        </w:numPr>
        <w:autoSpaceDE w:val="0"/>
        <w:autoSpaceDN w:val="0"/>
        <w:adjustRightInd w:val="0"/>
        <w:outlineLvl w:val="0"/>
      </w:pPr>
      <w:r>
        <w:t>date of the shipment, if more than 24 hours af</w:t>
      </w:r>
      <w:r w:rsidR="0060409C">
        <w:t>ter the date of the transaction</w:t>
      </w:r>
    </w:p>
    <w:p w:rsidR="0060409C" w:rsidRDefault="0060409C" w:rsidP="00A20556">
      <w:pPr>
        <w:numPr>
          <w:ilvl w:val="3"/>
          <w:numId w:val="6"/>
        </w:numPr>
        <w:autoSpaceDE w:val="0"/>
        <w:autoSpaceDN w:val="0"/>
        <w:adjustRightInd w:val="0"/>
        <w:outlineLvl w:val="0"/>
      </w:pPr>
      <w:r>
        <w:t>Business</w:t>
      </w:r>
      <w:r w:rsidR="00A20556">
        <w:t xml:space="preserve"> name and address of the person from whom and to whom ownership is being transferred.</w:t>
      </w:r>
    </w:p>
    <w:p w:rsidR="0060409C" w:rsidRDefault="00A20556" w:rsidP="00A20556">
      <w:pPr>
        <w:numPr>
          <w:ilvl w:val="2"/>
          <w:numId w:val="6"/>
        </w:numPr>
        <w:autoSpaceDE w:val="0"/>
        <w:autoSpaceDN w:val="0"/>
        <w:adjustRightInd w:val="0"/>
        <w:outlineLvl w:val="0"/>
      </w:pPr>
      <w:r>
        <w:t>Transaction History (TH): A statement in paper or electronic form, including the transaction information fo</w:t>
      </w:r>
      <w:r w:rsidR="0060409C">
        <w:t>r each prior transaction going b</w:t>
      </w:r>
      <w:r>
        <w:t>ack to the manufacturer of the product.</w:t>
      </w:r>
    </w:p>
    <w:p w:rsidR="0060409C" w:rsidRDefault="00A20556" w:rsidP="00A20556">
      <w:pPr>
        <w:numPr>
          <w:ilvl w:val="2"/>
          <w:numId w:val="6"/>
        </w:numPr>
        <w:autoSpaceDE w:val="0"/>
        <w:autoSpaceDN w:val="0"/>
        <w:adjustRightInd w:val="0"/>
        <w:outlineLvl w:val="0"/>
      </w:pPr>
      <w:r>
        <w:t xml:space="preserve">Transaction Statement (TS): </w:t>
      </w:r>
      <w:r w:rsidR="00B161DF">
        <w:t xml:space="preserve"> all conditions must be met.</w:t>
      </w:r>
    </w:p>
    <w:p w:rsidR="0060409C" w:rsidRDefault="0060409C" w:rsidP="00A20556">
      <w:pPr>
        <w:numPr>
          <w:ilvl w:val="3"/>
          <w:numId w:val="6"/>
        </w:numPr>
        <w:autoSpaceDE w:val="0"/>
        <w:autoSpaceDN w:val="0"/>
        <w:adjustRightInd w:val="0"/>
        <w:outlineLvl w:val="0"/>
      </w:pPr>
      <w:r>
        <w:t>E</w:t>
      </w:r>
      <w:r w:rsidR="00A20556">
        <w:t>ntity transferring ownership in a transaction is authori</w:t>
      </w:r>
      <w:r>
        <w:t>zed as required under DSCSA</w:t>
      </w:r>
    </w:p>
    <w:p w:rsidR="0060409C" w:rsidRDefault="00B161DF" w:rsidP="00A20556">
      <w:pPr>
        <w:numPr>
          <w:ilvl w:val="3"/>
          <w:numId w:val="6"/>
        </w:numPr>
        <w:autoSpaceDE w:val="0"/>
        <w:autoSpaceDN w:val="0"/>
        <w:adjustRightInd w:val="0"/>
        <w:outlineLvl w:val="0"/>
      </w:pPr>
      <w:r>
        <w:t>R</w:t>
      </w:r>
      <w:r w:rsidR="00A20556">
        <w:t>eceived transaction information and a transaction statement from the prior owner of the product, as required under the law</w:t>
      </w:r>
    </w:p>
    <w:p w:rsidR="0060409C" w:rsidRDefault="00B161DF" w:rsidP="00A20556">
      <w:pPr>
        <w:numPr>
          <w:ilvl w:val="3"/>
          <w:numId w:val="6"/>
        </w:numPr>
        <w:autoSpaceDE w:val="0"/>
        <w:autoSpaceDN w:val="0"/>
        <w:adjustRightInd w:val="0"/>
        <w:outlineLvl w:val="0"/>
      </w:pPr>
      <w:r>
        <w:t>D</w:t>
      </w:r>
      <w:r w:rsidR="00A20556">
        <w:t xml:space="preserve">id not knowingly ship a </w:t>
      </w:r>
      <w:r w:rsidR="0060409C">
        <w:t>suspect or illegitimate product</w:t>
      </w:r>
    </w:p>
    <w:p w:rsidR="0060409C" w:rsidRDefault="00B161DF" w:rsidP="00A20556">
      <w:pPr>
        <w:numPr>
          <w:ilvl w:val="3"/>
          <w:numId w:val="6"/>
        </w:numPr>
        <w:autoSpaceDE w:val="0"/>
        <w:autoSpaceDN w:val="0"/>
        <w:adjustRightInd w:val="0"/>
        <w:outlineLvl w:val="0"/>
      </w:pPr>
      <w:r>
        <w:t>Have</w:t>
      </w:r>
      <w:r w:rsidR="00A20556">
        <w:t xml:space="preserve"> systems and processes in place to comply with verifica</w:t>
      </w:r>
      <w:r w:rsidR="0060409C">
        <w:t>tion requirements under the law</w:t>
      </w:r>
    </w:p>
    <w:p w:rsidR="0060409C" w:rsidRDefault="00B161DF" w:rsidP="00A20556">
      <w:pPr>
        <w:numPr>
          <w:ilvl w:val="3"/>
          <w:numId w:val="6"/>
        </w:numPr>
        <w:autoSpaceDE w:val="0"/>
        <w:autoSpaceDN w:val="0"/>
        <w:adjustRightInd w:val="0"/>
        <w:outlineLvl w:val="0"/>
      </w:pPr>
      <w:r>
        <w:t>D</w:t>
      </w:r>
      <w:r w:rsidR="00A20556">
        <w:t>id not knowingly provide false transaction information; and</w:t>
      </w:r>
    </w:p>
    <w:p w:rsidR="003B52B8" w:rsidRPr="00A20556" w:rsidRDefault="00B161DF" w:rsidP="00A20556">
      <w:pPr>
        <w:numPr>
          <w:ilvl w:val="3"/>
          <w:numId w:val="6"/>
        </w:numPr>
        <w:autoSpaceDE w:val="0"/>
        <w:autoSpaceDN w:val="0"/>
        <w:adjustRightInd w:val="0"/>
        <w:outlineLvl w:val="0"/>
      </w:pPr>
      <w:r>
        <w:t>D</w:t>
      </w:r>
      <w:r w:rsidR="00A20556">
        <w:t>id not knowingly alter the transaction history.</w:t>
      </w:r>
    </w:p>
    <w:p w:rsidR="003B52B8" w:rsidRPr="00A20556" w:rsidRDefault="003B43FE" w:rsidP="004C7C75">
      <w:pPr>
        <w:outlineLvl w:val="0"/>
        <w:rPr>
          <w:b/>
        </w:rPr>
      </w:pPr>
      <w:r w:rsidRPr="00A20556">
        <w:rPr>
          <w:b/>
          <w:u w:val="single"/>
        </w:rPr>
        <w:t>References</w:t>
      </w:r>
      <w:r w:rsidR="003B52B8" w:rsidRPr="00A20556">
        <w:t xml:space="preserve">: </w:t>
      </w:r>
    </w:p>
    <w:p w:rsidR="003B52B8" w:rsidRPr="00A20556" w:rsidRDefault="003B52B8" w:rsidP="00AE1D40">
      <w:pPr>
        <w:ind w:left="1440"/>
      </w:pPr>
    </w:p>
    <w:p w:rsidR="001747AF" w:rsidRPr="001747AF" w:rsidRDefault="001747AF" w:rsidP="001747AF">
      <w:pPr>
        <w:autoSpaceDE w:val="0"/>
        <w:autoSpaceDN w:val="0"/>
        <w:adjustRightInd w:val="0"/>
        <w:rPr>
          <w:color w:val="000000"/>
        </w:rPr>
      </w:pPr>
      <w:r w:rsidRPr="001747AF">
        <w:rPr>
          <w:i/>
          <w:iCs/>
          <w:color w:val="000000"/>
        </w:rPr>
        <w:t xml:space="preserve">Office of Communications </w:t>
      </w:r>
    </w:p>
    <w:p w:rsidR="001747AF" w:rsidRPr="001747AF" w:rsidRDefault="001747AF" w:rsidP="001747AF">
      <w:pPr>
        <w:autoSpaceDE w:val="0"/>
        <w:autoSpaceDN w:val="0"/>
        <w:adjustRightInd w:val="0"/>
        <w:rPr>
          <w:color w:val="000000"/>
        </w:rPr>
      </w:pPr>
      <w:r w:rsidRPr="001747AF">
        <w:rPr>
          <w:i/>
          <w:iCs/>
          <w:color w:val="000000"/>
        </w:rPr>
        <w:t xml:space="preserve">Division of Drug Information, WO51, Room 2201 </w:t>
      </w:r>
    </w:p>
    <w:p w:rsidR="001747AF" w:rsidRPr="001747AF" w:rsidRDefault="001747AF" w:rsidP="001747AF">
      <w:pPr>
        <w:autoSpaceDE w:val="0"/>
        <w:autoSpaceDN w:val="0"/>
        <w:adjustRightInd w:val="0"/>
        <w:rPr>
          <w:color w:val="000000"/>
        </w:rPr>
      </w:pPr>
      <w:r w:rsidRPr="001747AF">
        <w:rPr>
          <w:i/>
          <w:iCs/>
          <w:color w:val="000000"/>
        </w:rPr>
        <w:t xml:space="preserve">Center for Drug Evaluation and Research </w:t>
      </w:r>
    </w:p>
    <w:p w:rsidR="001747AF" w:rsidRPr="001747AF" w:rsidRDefault="001747AF" w:rsidP="001747AF">
      <w:pPr>
        <w:autoSpaceDE w:val="0"/>
        <w:autoSpaceDN w:val="0"/>
        <w:adjustRightInd w:val="0"/>
        <w:rPr>
          <w:color w:val="000000"/>
        </w:rPr>
      </w:pPr>
      <w:r w:rsidRPr="001747AF">
        <w:rPr>
          <w:i/>
          <w:iCs/>
          <w:color w:val="000000"/>
        </w:rPr>
        <w:lastRenderedPageBreak/>
        <w:t xml:space="preserve">Food and Drug Administration </w:t>
      </w:r>
    </w:p>
    <w:p w:rsidR="001747AF" w:rsidRPr="001747AF" w:rsidRDefault="001747AF" w:rsidP="001747AF">
      <w:pPr>
        <w:autoSpaceDE w:val="0"/>
        <w:autoSpaceDN w:val="0"/>
        <w:adjustRightInd w:val="0"/>
        <w:rPr>
          <w:color w:val="000000"/>
        </w:rPr>
      </w:pPr>
      <w:r w:rsidRPr="001747AF">
        <w:rPr>
          <w:i/>
          <w:iCs/>
          <w:color w:val="000000"/>
        </w:rPr>
        <w:t xml:space="preserve">10903 New Hampshire Ave., Silver Spring, MD 20993 </w:t>
      </w:r>
    </w:p>
    <w:p w:rsidR="001747AF" w:rsidRPr="001747AF" w:rsidRDefault="001747AF" w:rsidP="001747AF">
      <w:pPr>
        <w:autoSpaceDE w:val="0"/>
        <w:autoSpaceDN w:val="0"/>
        <w:adjustRightInd w:val="0"/>
        <w:rPr>
          <w:color w:val="000000"/>
        </w:rPr>
      </w:pPr>
      <w:r w:rsidRPr="001747AF">
        <w:rPr>
          <w:i/>
          <w:iCs/>
          <w:color w:val="000000"/>
        </w:rPr>
        <w:t xml:space="preserve">Phone: 301-796-3400; Fax: 301-847-8714 </w:t>
      </w:r>
    </w:p>
    <w:p w:rsidR="00FE1EFB" w:rsidRPr="00A20556" w:rsidRDefault="00615584" w:rsidP="001747AF">
      <w:pPr>
        <w:ind w:left="360"/>
        <w:outlineLvl w:val="0"/>
        <w:rPr>
          <w:i/>
          <w:iCs/>
          <w:color w:val="000000"/>
        </w:rPr>
      </w:pPr>
      <w:hyperlink r:id="rId12" w:history="1">
        <w:r w:rsidR="001747AF" w:rsidRPr="00A20556">
          <w:rPr>
            <w:rStyle w:val="Hyperlink"/>
            <w:i/>
            <w:iCs/>
          </w:rPr>
          <w:t>http://www.fda.gov/Drugs/GuidanceComplianceRegulatoryInformation/Guidances/default.htm</w:t>
        </w:r>
      </w:hyperlink>
    </w:p>
    <w:p w:rsidR="001747AF" w:rsidRPr="00A20556" w:rsidRDefault="001747AF" w:rsidP="001747AF">
      <w:pPr>
        <w:ind w:left="360"/>
        <w:outlineLvl w:val="0"/>
        <w:rPr>
          <w:i/>
          <w:iCs/>
          <w:color w:val="000000"/>
        </w:rPr>
      </w:pPr>
    </w:p>
    <w:p w:rsidR="001747AF" w:rsidRPr="00A20556" w:rsidRDefault="001747AF" w:rsidP="00A20556">
      <w:pPr>
        <w:autoSpaceDE w:val="0"/>
        <w:autoSpaceDN w:val="0"/>
        <w:adjustRightInd w:val="0"/>
      </w:pPr>
      <w:r w:rsidRPr="001747AF">
        <w:rPr>
          <w:color w:val="000000"/>
        </w:rPr>
        <w:t xml:space="preserve">DSCSA Standards for the Interoperable Exchange of Information for Tracing of Certain Human, Finished, Prescription Drugs: How to Exchange Product Tracing Information </w:t>
      </w:r>
      <w:r w:rsidRPr="00A20556">
        <w:rPr>
          <w:color w:val="000000"/>
        </w:rPr>
        <w:t>Guidance for Industry</w:t>
      </w:r>
      <w:r w:rsidR="00A20556">
        <w:rPr>
          <w:color w:val="000000"/>
        </w:rPr>
        <w:t>.  FDA, Nov 2014. Procedural</w:t>
      </w:r>
    </w:p>
    <w:sectPr w:rsidR="001747AF" w:rsidRPr="00A20556" w:rsidSect="007F3CD2">
      <w:footerReference w:type="default" r:id="rId13"/>
      <w:pgSz w:w="12240" w:h="15840" w:code="1"/>
      <w:pgMar w:top="432" w:right="1440" w:bottom="432" w:left="1440" w:header="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36" w:rsidRDefault="00403336">
      <w:r>
        <w:separator/>
      </w:r>
    </w:p>
  </w:endnote>
  <w:endnote w:type="continuationSeparator" w:id="0">
    <w:p w:rsidR="00403336" w:rsidRDefault="0040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DC" w:rsidRPr="00CF7E31" w:rsidRDefault="009E4BDC" w:rsidP="00DB540A">
    <w:pPr>
      <w:pStyle w:val="Footer"/>
      <w:tabs>
        <w:tab w:val="clear" w:pos="4320"/>
        <w:tab w:val="clear" w:pos="8640"/>
        <w:tab w:val="center" w:pos="4680"/>
        <w:tab w:val="right" w:pos="9360"/>
      </w:tabs>
      <w:rPr>
        <w:sz w:val="14"/>
        <w:szCs w:val="14"/>
      </w:rPr>
    </w:pPr>
    <w:r>
      <w:rPr>
        <w:sz w:val="14"/>
        <w:szCs w:val="14"/>
      </w:rPr>
      <w:t xml:space="preserve"> HR Form #19</w:t>
    </w:r>
    <w:r w:rsidRPr="00CF7E31">
      <w:rPr>
        <w:sz w:val="14"/>
        <w:szCs w:val="14"/>
      </w:rPr>
      <w:t xml:space="preserve">   </w:t>
    </w:r>
    <w:r w:rsidR="006B02F2">
      <w:rPr>
        <w:sz w:val="14"/>
        <w:szCs w:val="14"/>
      </w:rPr>
      <w:t xml:space="preserve">  </w:t>
    </w:r>
    <w:r w:rsidR="009404B2">
      <w:rPr>
        <w:sz w:val="14"/>
        <w:szCs w:val="14"/>
      </w:rPr>
      <w:t>11/1</w:t>
    </w:r>
    <w:r w:rsidR="005B08F1">
      <w:rPr>
        <w:sz w:val="14"/>
        <w:szCs w:val="14"/>
      </w:rPr>
      <w:t>4</w:t>
    </w:r>
    <w:r w:rsidR="009404B2">
      <w:rPr>
        <w:sz w:val="14"/>
        <w:szCs w:val="14"/>
      </w:rPr>
      <w:t>/</w:t>
    </w:r>
    <w:r w:rsidR="005B08F1">
      <w:rPr>
        <w:sz w:val="14"/>
        <w:szCs w:val="14"/>
      </w:rPr>
      <w:t>2013</w:t>
    </w:r>
    <w:r w:rsidR="009404B2">
      <w:rPr>
        <w:sz w:val="14"/>
        <w:szCs w:val="14"/>
      </w:rPr>
      <w:tab/>
      <w:t>L</w:t>
    </w:r>
    <w:r w:rsidRPr="00CF7E31">
      <w:rPr>
        <w:sz w:val="14"/>
        <w:szCs w:val="14"/>
      </w:rPr>
      <w:t>ivingston Heal</w:t>
    </w:r>
    <w:r w:rsidR="006D38A9">
      <w:rPr>
        <w:sz w:val="14"/>
        <w:szCs w:val="14"/>
      </w:rPr>
      <w:t>thC</w:t>
    </w:r>
    <w:r>
      <w:rPr>
        <w:sz w:val="14"/>
        <w:szCs w:val="14"/>
      </w:rPr>
      <w:t>are, Livingston, MT 59047</w:t>
    </w:r>
    <w:r>
      <w:rPr>
        <w:sz w:val="14"/>
        <w:szCs w:val="14"/>
      </w:rPr>
      <w:tab/>
    </w:r>
    <w:r w:rsidR="001A46AE" w:rsidRPr="001A46AE">
      <w:rPr>
        <w:sz w:val="14"/>
        <w:szCs w:val="14"/>
      </w:rPr>
      <w:t xml:space="preserve">Page </w:t>
    </w:r>
    <w:r w:rsidR="001A46AE" w:rsidRPr="001A46AE">
      <w:rPr>
        <w:sz w:val="14"/>
        <w:szCs w:val="14"/>
      </w:rPr>
      <w:fldChar w:fldCharType="begin"/>
    </w:r>
    <w:r w:rsidR="001A46AE" w:rsidRPr="001A46AE">
      <w:rPr>
        <w:sz w:val="14"/>
        <w:szCs w:val="14"/>
      </w:rPr>
      <w:instrText xml:space="preserve"> PAGE </w:instrText>
    </w:r>
    <w:r w:rsidR="001A46AE" w:rsidRPr="001A46AE">
      <w:rPr>
        <w:sz w:val="14"/>
        <w:szCs w:val="14"/>
      </w:rPr>
      <w:fldChar w:fldCharType="separate"/>
    </w:r>
    <w:r w:rsidR="00615584">
      <w:rPr>
        <w:noProof/>
        <w:sz w:val="14"/>
        <w:szCs w:val="14"/>
      </w:rPr>
      <w:t>1</w:t>
    </w:r>
    <w:r w:rsidR="001A46AE" w:rsidRPr="001A46AE">
      <w:rPr>
        <w:sz w:val="14"/>
        <w:szCs w:val="14"/>
      </w:rPr>
      <w:fldChar w:fldCharType="end"/>
    </w:r>
    <w:r w:rsidR="001A46AE" w:rsidRPr="001A46AE">
      <w:rPr>
        <w:sz w:val="14"/>
        <w:szCs w:val="14"/>
      </w:rPr>
      <w:t xml:space="preserve"> of </w:t>
    </w:r>
    <w:r w:rsidR="001A46AE" w:rsidRPr="001A46AE">
      <w:rPr>
        <w:sz w:val="14"/>
        <w:szCs w:val="14"/>
      </w:rPr>
      <w:fldChar w:fldCharType="begin"/>
    </w:r>
    <w:r w:rsidR="001A46AE" w:rsidRPr="001A46AE">
      <w:rPr>
        <w:sz w:val="14"/>
        <w:szCs w:val="14"/>
      </w:rPr>
      <w:instrText xml:space="preserve"> NUMPAGES </w:instrText>
    </w:r>
    <w:r w:rsidR="001A46AE" w:rsidRPr="001A46AE">
      <w:rPr>
        <w:sz w:val="14"/>
        <w:szCs w:val="14"/>
      </w:rPr>
      <w:fldChar w:fldCharType="separate"/>
    </w:r>
    <w:r w:rsidR="00615584">
      <w:rPr>
        <w:noProof/>
        <w:sz w:val="14"/>
        <w:szCs w:val="14"/>
      </w:rPr>
      <w:t>3</w:t>
    </w:r>
    <w:r w:rsidR="001A46AE" w:rsidRPr="001A46AE">
      <w:rPr>
        <w:sz w:val="14"/>
        <w:szCs w:val="14"/>
      </w:rPr>
      <w:fldChar w:fldCharType="end"/>
    </w:r>
  </w:p>
  <w:p w:rsidR="006861B1" w:rsidRDefault="006861B1" w:rsidP="005B0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36" w:rsidRDefault="00403336">
      <w:r>
        <w:separator/>
      </w:r>
    </w:p>
  </w:footnote>
  <w:footnote w:type="continuationSeparator" w:id="0">
    <w:p w:rsidR="00403336" w:rsidRDefault="00403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BE7"/>
    <w:multiLevelType w:val="hybridMultilevel"/>
    <w:tmpl w:val="F16C7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6A3AD7"/>
    <w:multiLevelType w:val="hybridMultilevel"/>
    <w:tmpl w:val="6F76A02E"/>
    <w:lvl w:ilvl="0" w:tplc="96AA6A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2D67A8"/>
    <w:multiLevelType w:val="hybridMultilevel"/>
    <w:tmpl w:val="EC90E8F6"/>
    <w:lvl w:ilvl="0" w:tplc="04090001">
      <w:start w:val="1"/>
      <w:numFmt w:val="bullet"/>
      <w:lvlText w:val=""/>
      <w:lvlJc w:val="left"/>
      <w:pPr>
        <w:ind w:left="2753" w:hanging="360"/>
      </w:pPr>
      <w:rPr>
        <w:rFonts w:ascii="Symbol" w:hAnsi="Symbol" w:hint="default"/>
      </w:rPr>
    </w:lvl>
    <w:lvl w:ilvl="1" w:tplc="04090003" w:tentative="1">
      <w:start w:val="1"/>
      <w:numFmt w:val="bullet"/>
      <w:lvlText w:val="o"/>
      <w:lvlJc w:val="left"/>
      <w:pPr>
        <w:ind w:left="3473" w:hanging="360"/>
      </w:pPr>
      <w:rPr>
        <w:rFonts w:ascii="Courier New" w:hAnsi="Courier New" w:cs="Courier New" w:hint="default"/>
      </w:rPr>
    </w:lvl>
    <w:lvl w:ilvl="2" w:tplc="04090005" w:tentative="1">
      <w:start w:val="1"/>
      <w:numFmt w:val="bullet"/>
      <w:lvlText w:val=""/>
      <w:lvlJc w:val="left"/>
      <w:pPr>
        <w:ind w:left="4193" w:hanging="360"/>
      </w:pPr>
      <w:rPr>
        <w:rFonts w:ascii="Wingdings" w:hAnsi="Wingdings" w:hint="default"/>
      </w:rPr>
    </w:lvl>
    <w:lvl w:ilvl="3" w:tplc="04090001" w:tentative="1">
      <w:start w:val="1"/>
      <w:numFmt w:val="bullet"/>
      <w:lvlText w:val=""/>
      <w:lvlJc w:val="left"/>
      <w:pPr>
        <w:ind w:left="4913" w:hanging="360"/>
      </w:pPr>
      <w:rPr>
        <w:rFonts w:ascii="Symbol" w:hAnsi="Symbol" w:hint="default"/>
      </w:rPr>
    </w:lvl>
    <w:lvl w:ilvl="4" w:tplc="04090003" w:tentative="1">
      <w:start w:val="1"/>
      <w:numFmt w:val="bullet"/>
      <w:lvlText w:val="o"/>
      <w:lvlJc w:val="left"/>
      <w:pPr>
        <w:ind w:left="5633" w:hanging="360"/>
      </w:pPr>
      <w:rPr>
        <w:rFonts w:ascii="Courier New" w:hAnsi="Courier New" w:cs="Courier New" w:hint="default"/>
      </w:rPr>
    </w:lvl>
    <w:lvl w:ilvl="5" w:tplc="04090005" w:tentative="1">
      <w:start w:val="1"/>
      <w:numFmt w:val="bullet"/>
      <w:lvlText w:val=""/>
      <w:lvlJc w:val="left"/>
      <w:pPr>
        <w:ind w:left="6353" w:hanging="360"/>
      </w:pPr>
      <w:rPr>
        <w:rFonts w:ascii="Wingdings" w:hAnsi="Wingdings" w:hint="default"/>
      </w:rPr>
    </w:lvl>
    <w:lvl w:ilvl="6" w:tplc="04090001" w:tentative="1">
      <w:start w:val="1"/>
      <w:numFmt w:val="bullet"/>
      <w:lvlText w:val=""/>
      <w:lvlJc w:val="left"/>
      <w:pPr>
        <w:ind w:left="7073" w:hanging="360"/>
      </w:pPr>
      <w:rPr>
        <w:rFonts w:ascii="Symbol" w:hAnsi="Symbol" w:hint="default"/>
      </w:rPr>
    </w:lvl>
    <w:lvl w:ilvl="7" w:tplc="04090003" w:tentative="1">
      <w:start w:val="1"/>
      <w:numFmt w:val="bullet"/>
      <w:lvlText w:val="o"/>
      <w:lvlJc w:val="left"/>
      <w:pPr>
        <w:ind w:left="7793" w:hanging="360"/>
      </w:pPr>
      <w:rPr>
        <w:rFonts w:ascii="Courier New" w:hAnsi="Courier New" w:cs="Courier New" w:hint="default"/>
      </w:rPr>
    </w:lvl>
    <w:lvl w:ilvl="8" w:tplc="04090005" w:tentative="1">
      <w:start w:val="1"/>
      <w:numFmt w:val="bullet"/>
      <w:lvlText w:val=""/>
      <w:lvlJc w:val="left"/>
      <w:pPr>
        <w:ind w:left="8513" w:hanging="360"/>
      </w:pPr>
      <w:rPr>
        <w:rFonts w:ascii="Wingdings" w:hAnsi="Wingdings" w:hint="default"/>
      </w:rPr>
    </w:lvl>
  </w:abstractNum>
  <w:abstractNum w:abstractNumId="3">
    <w:nsid w:val="575F2622"/>
    <w:multiLevelType w:val="hybridMultilevel"/>
    <w:tmpl w:val="3AF6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27011"/>
    <w:multiLevelType w:val="hybridMultilevel"/>
    <w:tmpl w:val="4028A02E"/>
    <w:lvl w:ilvl="0" w:tplc="792C2D80">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B3E66EF"/>
    <w:multiLevelType w:val="hybridMultilevel"/>
    <w:tmpl w:val="768C6B40"/>
    <w:lvl w:ilvl="0" w:tplc="A2AE8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0331703"/>
    <w:multiLevelType w:val="hybridMultilevel"/>
    <w:tmpl w:val="FF9ED6AE"/>
    <w:lvl w:ilvl="0" w:tplc="04090001">
      <w:start w:val="1"/>
      <w:numFmt w:val="bullet"/>
      <w:lvlText w:val=""/>
      <w:lvlJc w:val="left"/>
      <w:pPr>
        <w:ind w:left="2753" w:hanging="360"/>
      </w:pPr>
      <w:rPr>
        <w:rFonts w:ascii="Symbol" w:hAnsi="Symbol" w:hint="default"/>
      </w:rPr>
    </w:lvl>
    <w:lvl w:ilvl="1" w:tplc="04090003" w:tentative="1">
      <w:start w:val="1"/>
      <w:numFmt w:val="bullet"/>
      <w:lvlText w:val="o"/>
      <w:lvlJc w:val="left"/>
      <w:pPr>
        <w:ind w:left="3473" w:hanging="360"/>
      </w:pPr>
      <w:rPr>
        <w:rFonts w:ascii="Courier New" w:hAnsi="Courier New" w:cs="Courier New" w:hint="default"/>
      </w:rPr>
    </w:lvl>
    <w:lvl w:ilvl="2" w:tplc="04090005" w:tentative="1">
      <w:start w:val="1"/>
      <w:numFmt w:val="bullet"/>
      <w:lvlText w:val=""/>
      <w:lvlJc w:val="left"/>
      <w:pPr>
        <w:ind w:left="4193" w:hanging="360"/>
      </w:pPr>
      <w:rPr>
        <w:rFonts w:ascii="Wingdings" w:hAnsi="Wingdings" w:hint="default"/>
      </w:rPr>
    </w:lvl>
    <w:lvl w:ilvl="3" w:tplc="04090001" w:tentative="1">
      <w:start w:val="1"/>
      <w:numFmt w:val="bullet"/>
      <w:lvlText w:val=""/>
      <w:lvlJc w:val="left"/>
      <w:pPr>
        <w:ind w:left="4913" w:hanging="360"/>
      </w:pPr>
      <w:rPr>
        <w:rFonts w:ascii="Symbol" w:hAnsi="Symbol" w:hint="default"/>
      </w:rPr>
    </w:lvl>
    <w:lvl w:ilvl="4" w:tplc="04090003" w:tentative="1">
      <w:start w:val="1"/>
      <w:numFmt w:val="bullet"/>
      <w:lvlText w:val="o"/>
      <w:lvlJc w:val="left"/>
      <w:pPr>
        <w:ind w:left="5633" w:hanging="360"/>
      </w:pPr>
      <w:rPr>
        <w:rFonts w:ascii="Courier New" w:hAnsi="Courier New" w:cs="Courier New" w:hint="default"/>
      </w:rPr>
    </w:lvl>
    <w:lvl w:ilvl="5" w:tplc="04090005" w:tentative="1">
      <w:start w:val="1"/>
      <w:numFmt w:val="bullet"/>
      <w:lvlText w:val=""/>
      <w:lvlJc w:val="left"/>
      <w:pPr>
        <w:ind w:left="6353" w:hanging="360"/>
      </w:pPr>
      <w:rPr>
        <w:rFonts w:ascii="Wingdings" w:hAnsi="Wingdings" w:hint="default"/>
      </w:rPr>
    </w:lvl>
    <w:lvl w:ilvl="6" w:tplc="04090001" w:tentative="1">
      <w:start w:val="1"/>
      <w:numFmt w:val="bullet"/>
      <w:lvlText w:val=""/>
      <w:lvlJc w:val="left"/>
      <w:pPr>
        <w:ind w:left="7073" w:hanging="360"/>
      </w:pPr>
      <w:rPr>
        <w:rFonts w:ascii="Symbol" w:hAnsi="Symbol" w:hint="default"/>
      </w:rPr>
    </w:lvl>
    <w:lvl w:ilvl="7" w:tplc="04090003" w:tentative="1">
      <w:start w:val="1"/>
      <w:numFmt w:val="bullet"/>
      <w:lvlText w:val="o"/>
      <w:lvlJc w:val="left"/>
      <w:pPr>
        <w:ind w:left="7793" w:hanging="360"/>
      </w:pPr>
      <w:rPr>
        <w:rFonts w:ascii="Courier New" w:hAnsi="Courier New" w:cs="Courier New" w:hint="default"/>
      </w:rPr>
    </w:lvl>
    <w:lvl w:ilvl="8" w:tplc="04090005" w:tentative="1">
      <w:start w:val="1"/>
      <w:numFmt w:val="bullet"/>
      <w:lvlText w:val=""/>
      <w:lvlJc w:val="left"/>
      <w:pPr>
        <w:ind w:left="8513"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0E"/>
    <w:rsid w:val="000030D6"/>
    <w:rsid w:val="00013332"/>
    <w:rsid w:val="00030DAA"/>
    <w:rsid w:val="0004299A"/>
    <w:rsid w:val="0005300E"/>
    <w:rsid w:val="0008064C"/>
    <w:rsid w:val="000D3E42"/>
    <w:rsid w:val="000E098F"/>
    <w:rsid w:val="000F6815"/>
    <w:rsid w:val="001119DE"/>
    <w:rsid w:val="001140C8"/>
    <w:rsid w:val="00126AA6"/>
    <w:rsid w:val="0014120F"/>
    <w:rsid w:val="00142C4A"/>
    <w:rsid w:val="001432A3"/>
    <w:rsid w:val="001747AF"/>
    <w:rsid w:val="00182B51"/>
    <w:rsid w:val="00190F4D"/>
    <w:rsid w:val="001979DE"/>
    <w:rsid w:val="001A46AE"/>
    <w:rsid w:val="0021756D"/>
    <w:rsid w:val="00223828"/>
    <w:rsid w:val="00236B4D"/>
    <w:rsid w:val="00247E20"/>
    <w:rsid w:val="0025308D"/>
    <w:rsid w:val="002912C4"/>
    <w:rsid w:val="00294AAB"/>
    <w:rsid w:val="0030432A"/>
    <w:rsid w:val="003278AE"/>
    <w:rsid w:val="00345248"/>
    <w:rsid w:val="003B43FE"/>
    <w:rsid w:val="003B52B8"/>
    <w:rsid w:val="003C24AB"/>
    <w:rsid w:val="003D1079"/>
    <w:rsid w:val="003F14DD"/>
    <w:rsid w:val="00400286"/>
    <w:rsid w:val="00403336"/>
    <w:rsid w:val="00427B54"/>
    <w:rsid w:val="004332E8"/>
    <w:rsid w:val="004745F2"/>
    <w:rsid w:val="00480D3D"/>
    <w:rsid w:val="004B147E"/>
    <w:rsid w:val="004B2128"/>
    <w:rsid w:val="004C7C75"/>
    <w:rsid w:val="004E0DFA"/>
    <w:rsid w:val="004F33C1"/>
    <w:rsid w:val="00514C2F"/>
    <w:rsid w:val="00524FEE"/>
    <w:rsid w:val="0053746A"/>
    <w:rsid w:val="005418BB"/>
    <w:rsid w:val="005622D7"/>
    <w:rsid w:val="00572671"/>
    <w:rsid w:val="00577FF9"/>
    <w:rsid w:val="005A7158"/>
    <w:rsid w:val="005B08F1"/>
    <w:rsid w:val="005E4DB9"/>
    <w:rsid w:val="005F2FAE"/>
    <w:rsid w:val="0060409C"/>
    <w:rsid w:val="00615584"/>
    <w:rsid w:val="00617FA6"/>
    <w:rsid w:val="006861B1"/>
    <w:rsid w:val="00697D11"/>
    <w:rsid w:val="006B02F2"/>
    <w:rsid w:val="006C4D4B"/>
    <w:rsid w:val="006D38A9"/>
    <w:rsid w:val="006F4D2D"/>
    <w:rsid w:val="007028CF"/>
    <w:rsid w:val="0071049F"/>
    <w:rsid w:val="007333E2"/>
    <w:rsid w:val="007440F8"/>
    <w:rsid w:val="0074483E"/>
    <w:rsid w:val="007C6344"/>
    <w:rsid w:val="007F3CD2"/>
    <w:rsid w:val="00823640"/>
    <w:rsid w:val="0084578E"/>
    <w:rsid w:val="00852CE3"/>
    <w:rsid w:val="008947F7"/>
    <w:rsid w:val="008B097E"/>
    <w:rsid w:val="008C4546"/>
    <w:rsid w:val="008E2A21"/>
    <w:rsid w:val="008F3115"/>
    <w:rsid w:val="009245EE"/>
    <w:rsid w:val="009404B2"/>
    <w:rsid w:val="009746D5"/>
    <w:rsid w:val="009A193E"/>
    <w:rsid w:val="009D0876"/>
    <w:rsid w:val="009D77B8"/>
    <w:rsid w:val="009E4BDC"/>
    <w:rsid w:val="009F09E2"/>
    <w:rsid w:val="00A20556"/>
    <w:rsid w:val="00A20DFE"/>
    <w:rsid w:val="00A33980"/>
    <w:rsid w:val="00A6137A"/>
    <w:rsid w:val="00A7380D"/>
    <w:rsid w:val="00AB3142"/>
    <w:rsid w:val="00AC3559"/>
    <w:rsid w:val="00AD7C50"/>
    <w:rsid w:val="00AE1D40"/>
    <w:rsid w:val="00B05656"/>
    <w:rsid w:val="00B139B0"/>
    <w:rsid w:val="00B161DF"/>
    <w:rsid w:val="00B2101E"/>
    <w:rsid w:val="00B41114"/>
    <w:rsid w:val="00B54065"/>
    <w:rsid w:val="00B56DD7"/>
    <w:rsid w:val="00B83CED"/>
    <w:rsid w:val="00BA4995"/>
    <w:rsid w:val="00BE36A7"/>
    <w:rsid w:val="00C56E84"/>
    <w:rsid w:val="00CB41A5"/>
    <w:rsid w:val="00CD1BC2"/>
    <w:rsid w:val="00CD5DFB"/>
    <w:rsid w:val="00D37AA5"/>
    <w:rsid w:val="00D401D2"/>
    <w:rsid w:val="00D6516C"/>
    <w:rsid w:val="00D81127"/>
    <w:rsid w:val="00DB540A"/>
    <w:rsid w:val="00E5211F"/>
    <w:rsid w:val="00E60B07"/>
    <w:rsid w:val="00E956D9"/>
    <w:rsid w:val="00EA70B8"/>
    <w:rsid w:val="00EC6209"/>
    <w:rsid w:val="00ED0EE2"/>
    <w:rsid w:val="00F15B61"/>
    <w:rsid w:val="00F44D06"/>
    <w:rsid w:val="00FA2385"/>
    <w:rsid w:val="00FE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147E"/>
    <w:rPr>
      <w:rFonts w:ascii="Tahoma" w:hAnsi="Tahoma" w:cs="Tahoma"/>
      <w:sz w:val="16"/>
      <w:szCs w:val="16"/>
    </w:rPr>
  </w:style>
  <w:style w:type="paragraph" w:styleId="Header">
    <w:name w:val="header"/>
    <w:basedOn w:val="Normal"/>
    <w:rsid w:val="00400286"/>
    <w:pPr>
      <w:tabs>
        <w:tab w:val="center" w:pos="4320"/>
        <w:tab w:val="right" w:pos="8640"/>
      </w:tabs>
    </w:pPr>
  </w:style>
  <w:style w:type="paragraph" w:styleId="Footer">
    <w:name w:val="footer"/>
    <w:basedOn w:val="Normal"/>
    <w:rsid w:val="00400286"/>
    <w:pPr>
      <w:tabs>
        <w:tab w:val="center" w:pos="4320"/>
        <w:tab w:val="right" w:pos="8640"/>
      </w:tabs>
    </w:pPr>
  </w:style>
  <w:style w:type="character" w:styleId="PageNumber">
    <w:name w:val="page number"/>
    <w:basedOn w:val="DefaultParagraphFont"/>
    <w:rsid w:val="00400286"/>
  </w:style>
  <w:style w:type="paragraph" w:styleId="DocumentMap">
    <w:name w:val="Document Map"/>
    <w:basedOn w:val="Normal"/>
    <w:semiHidden/>
    <w:rsid w:val="004C7C75"/>
    <w:pPr>
      <w:shd w:val="clear" w:color="auto" w:fill="000080"/>
    </w:pPr>
    <w:rPr>
      <w:rFonts w:ascii="Tahoma" w:hAnsi="Tahoma" w:cs="Tahoma"/>
      <w:sz w:val="20"/>
      <w:szCs w:val="20"/>
    </w:rPr>
  </w:style>
  <w:style w:type="paragraph" w:customStyle="1" w:styleId="Default">
    <w:name w:val="Default"/>
    <w:rsid w:val="004745F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83CED"/>
  </w:style>
  <w:style w:type="character" w:styleId="Hyperlink">
    <w:name w:val="Hyperlink"/>
    <w:basedOn w:val="DefaultParagraphFont"/>
    <w:rsid w:val="001747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147E"/>
    <w:rPr>
      <w:rFonts w:ascii="Tahoma" w:hAnsi="Tahoma" w:cs="Tahoma"/>
      <w:sz w:val="16"/>
      <w:szCs w:val="16"/>
    </w:rPr>
  </w:style>
  <w:style w:type="paragraph" w:styleId="Header">
    <w:name w:val="header"/>
    <w:basedOn w:val="Normal"/>
    <w:rsid w:val="00400286"/>
    <w:pPr>
      <w:tabs>
        <w:tab w:val="center" w:pos="4320"/>
        <w:tab w:val="right" w:pos="8640"/>
      </w:tabs>
    </w:pPr>
  </w:style>
  <w:style w:type="paragraph" w:styleId="Footer">
    <w:name w:val="footer"/>
    <w:basedOn w:val="Normal"/>
    <w:rsid w:val="00400286"/>
    <w:pPr>
      <w:tabs>
        <w:tab w:val="center" w:pos="4320"/>
        <w:tab w:val="right" w:pos="8640"/>
      </w:tabs>
    </w:pPr>
  </w:style>
  <w:style w:type="character" w:styleId="PageNumber">
    <w:name w:val="page number"/>
    <w:basedOn w:val="DefaultParagraphFont"/>
    <w:rsid w:val="00400286"/>
  </w:style>
  <w:style w:type="paragraph" w:styleId="DocumentMap">
    <w:name w:val="Document Map"/>
    <w:basedOn w:val="Normal"/>
    <w:semiHidden/>
    <w:rsid w:val="004C7C75"/>
    <w:pPr>
      <w:shd w:val="clear" w:color="auto" w:fill="000080"/>
    </w:pPr>
    <w:rPr>
      <w:rFonts w:ascii="Tahoma" w:hAnsi="Tahoma" w:cs="Tahoma"/>
      <w:sz w:val="20"/>
      <w:szCs w:val="20"/>
    </w:rPr>
  </w:style>
  <w:style w:type="paragraph" w:customStyle="1" w:styleId="Default">
    <w:name w:val="Default"/>
    <w:rsid w:val="004745F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83CED"/>
  </w:style>
  <w:style w:type="character" w:styleId="Hyperlink">
    <w:name w:val="Hyperlink"/>
    <w:basedOn w:val="DefaultParagraphFont"/>
    <w:rsid w:val="00174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5739">
      <w:bodyDiv w:val="1"/>
      <w:marLeft w:val="0"/>
      <w:marRight w:val="0"/>
      <w:marTop w:val="0"/>
      <w:marBottom w:val="0"/>
      <w:divBdr>
        <w:top w:val="none" w:sz="0" w:space="0" w:color="auto"/>
        <w:left w:val="none" w:sz="0" w:space="0" w:color="auto"/>
        <w:bottom w:val="none" w:sz="0" w:space="0" w:color="auto"/>
        <w:right w:val="none" w:sz="0" w:space="0" w:color="auto"/>
      </w:divBdr>
      <w:divsChild>
        <w:div w:id="39475116">
          <w:marLeft w:val="0"/>
          <w:marRight w:val="0"/>
          <w:marTop w:val="0"/>
          <w:marBottom w:val="0"/>
          <w:divBdr>
            <w:top w:val="none" w:sz="0" w:space="0" w:color="auto"/>
            <w:left w:val="none" w:sz="0" w:space="0" w:color="auto"/>
            <w:bottom w:val="none" w:sz="0" w:space="0" w:color="auto"/>
            <w:right w:val="none" w:sz="0" w:space="0" w:color="auto"/>
          </w:divBdr>
          <w:divsChild>
            <w:div w:id="115414981">
              <w:marLeft w:val="0"/>
              <w:marRight w:val="0"/>
              <w:marTop w:val="0"/>
              <w:marBottom w:val="0"/>
              <w:divBdr>
                <w:top w:val="none" w:sz="0" w:space="0" w:color="auto"/>
                <w:left w:val="none" w:sz="0" w:space="0" w:color="auto"/>
                <w:bottom w:val="none" w:sz="0" w:space="0" w:color="auto"/>
                <w:right w:val="none" w:sz="0" w:space="0" w:color="auto"/>
              </w:divBdr>
              <w:divsChild>
                <w:div w:id="1087506933">
                  <w:marLeft w:val="0"/>
                  <w:marRight w:val="0"/>
                  <w:marTop w:val="0"/>
                  <w:marBottom w:val="0"/>
                  <w:divBdr>
                    <w:top w:val="none" w:sz="0" w:space="0" w:color="auto"/>
                    <w:left w:val="none" w:sz="0" w:space="0" w:color="auto"/>
                    <w:bottom w:val="none" w:sz="0" w:space="0" w:color="auto"/>
                    <w:right w:val="none" w:sz="0" w:space="0" w:color="auto"/>
                  </w:divBdr>
                  <w:divsChild>
                    <w:div w:id="1203130852">
                      <w:marLeft w:val="0"/>
                      <w:marRight w:val="0"/>
                      <w:marTop w:val="0"/>
                      <w:marBottom w:val="0"/>
                      <w:divBdr>
                        <w:top w:val="none" w:sz="0" w:space="0" w:color="auto"/>
                        <w:left w:val="none" w:sz="0" w:space="0" w:color="auto"/>
                        <w:bottom w:val="none" w:sz="0" w:space="0" w:color="auto"/>
                        <w:right w:val="none" w:sz="0" w:space="0" w:color="auto"/>
                      </w:divBdr>
                      <w:divsChild>
                        <w:div w:id="1679578760">
                          <w:marLeft w:val="0"/>
                          <w:marRight w:val="0"/>
                          <w:marTop w:val="0"/>
                          <w:marBottom w:val="0"/>
                          <w:divBdr>
                            <w:top w:val="none" w:sz="0" w:space="0" w:color="auto"/>
                            <w:left w:val="none" w:sz="0" w:space="0" w:color="auto"/>
                            <w:bottom w:val="none" w:sz="0" w:space="0" w:color="auto"/>
                            <w:right w:val="none" w:sz="0" w:space="0" w:color="auto"/>
                          </w:divBdr>
                          <w:divsChild>
                            <w:div w:id="589893302">
                              <w:marLeft w:val="0"/>
                              <w:marRight w:val="0"/>
                              <w:marTop w:val="0"/>
                              <w:marBottom w:val="0"/>
                              <w:divBdr>
                                <w:top w:val="none" w:sz="0" w:space="0" w:color="auto"/>
                                <w:left w:val="none" w:sz="0" w:space="0" w:color="auto"/>
                                <w:bottom w:val="none" w:sz="0" w:space="0" w:color="auto"/>
                                <w:right w:val="none" w:sz="0" w:space="0" w:color="auto"/>
                              </w:divBdr>
                              <w:divsChild>
                                <w:div w:id="1913000051">
                                  <w:marLeft w:val="-225"/>
                                  <w:marRight w:val="-225"/>
                                  <w:marTop w:val="0"/>
                                  <w:marBottom w:val="0"/>
                                  <w:divBdr>
                                    <w:top w:val="none" w:sz="0" w:space="0" w:color="auto"/>
                                    <w:left w:val="none" w:sz="0" w:space="0" w:color="auto"/>
                                    <w:bottom w:val="none" w:sz="0" w:space="0" w:color="auto"/>
                                    <w:right w:val="none" w:sz="0" w:space="0" w:color="auto"/>
                                  </w:divBdr>
                                  <w:divsChild>
                                    <w:div w:id="798769740">
                                      <w:marLeft w:val="0"/>
                                      <w:marRight w:val="0"/>
                                      <w:marTop w:val="0"/>
                                      <w:marBottom w:val="0"/>
                                      <w:divBdr>
                                        <w:top w:val="none" w:sz="0" w:space="0" w:color="auto"/>
                                        <w:left w:val="none" w:sz="0" w:space="0" w:color="auto"/>
                                        <w:bottom w:val="none" w:sz="0" w:space="0" w:color="auto"/>
                                        <w:right w:val="none" w:sz="0" w:space="0" w:color="auto"/>
                                      </w:divBdr>
                                      <w:divsChild>
                                        <w:div w:id="912546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da.gov/Drugs/GuidanceComplianceRegulatoryInformation/Guidances/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essdata.fda.gov/scripts/cder/email/drugnotification.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cessdata.fda.gov/scripts/cder/email/drugnotification.cf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4380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Livingston HealthCare</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Anczak</dc:creator>
  <cp:lastModifiedBy>Jennifer Wagner</cp:lastModifiedBy>
  <cp:revision>2</cp:revision>
  <cp:lastPrinted>2013-11-14T16:08:00Z</cp:lastPrinted>
  <dcterms:created xsi:type="dcterms:W3CDTF">2015-07-20T21:44:00Z</dcterms:created>
  <dcterms:modified xsi:type="dcterms:W3CDTF">2015-07-20T21:44:00Z</dcterms:modified>
</cp:coreProperties>
</file>