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5" w:rsidRDefault="002E6FF5">
      <w:pPr>
        <w:pStyle w:val="PlainText"/>
        <w:rPr>
          <w:rFonts w:eastAsia="MS Mincho"/>
        </w:rPr>
      </w:pPr>
      <w:bookmarkStart w:id="0" w:name="_GoBack"/>
      <w:bookmarkEnd w:id="0"/>
    </w:p>
    <w:p w:rsidR="002E6FF5" w:rsidRDefault="002E6FF5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Hospital Name</w:t>
      </w:r>
    </w:p>
    <w:p w:rsidR="002E6FF5" w:rsidRDefault="002E6FF5">
      <w:pPr>
        <w:pStyle w:val="Title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address</w:t>
      </w:r>
      <w:proofErr w:type="gramEnd"/>
    </w:p>
    <w:p w:rsidR="002E6FF5" w:rsidRDefault="002E6FF5">
      <w:pPr>
        <w:jc w:val="center"/>
        <w:rPr>
          <w:rFonts w:cs="Arial"/>
          <w:b/>
          <w:bCs/>
          <w:sz w:val="28"/>
        </w:rPr>
      </w:pPr>
    </w:p>
    <w:p w:rsidR="002E6FF5" w:rsidRDefault="002E6FF5">
      <w:pPr>
        <w:jc w:val="center"/>
        <w:rPr>
          <w:rFonts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968"/>
      </w:tblGrid>
      <w:tr w:rsidR="002E6FF5">
        <w:tc>
          <w:tcPr>
            <w:tcW w:w="3888" w:type="dxa"/>
          </w:tcPr>
          <w:p w:rsidR="002E6FF5" w:rsidRDefault="002E6FF5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Department:    Medical Staff</w:t>
            </w:r>
          </w:p>
          <w:p w:rsidR="002E6FF5" w:rsidRDefault="002E6FF5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4968" w:type="dxa"/>
          </w:tcPr>
          <w:p w:rsidR="002E6FF5" w:rsidRDefault="002E6FF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Policy No.</w:t>
            </w:r>
          </w:p>
        </w:tc>
      </w:tr>
      <w:tr w:rsidR="002E6FF5">
        <w:tc>
          <w:tcPr>
            <w:tcW w:w="3888" w:type="dxa"/>
          </w:tcPr>
          <w:p w:rsidR="002E6FF5" w:rsidRDefault="002E6FF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Policy: Reappointment Policy</w:t>
            </w:r>
          </w:p>
        </w:tc>
        <w:tc>
          <w:tcPr>
            <w:tcW w:w="4968" w:type="dxa"/>
          </w:tcPr>
          <w:p w:rsidR="002E6FF5" w:rsidRDefault="002E6FF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Approvals:</w:t>
            </w:r>
          </w:p>
        </w:tc>
      </w:tr>
      <w:tr w:rsidR="002E6FF5">
        <w:tc>
          <w:tcPr>
            <w:tcW w:w="3888" w:type="dxa"/>
          </w:tcPr>
          <w:p w:rsidR="002E6FF5" w:rsidRDefault="002E6FF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Effective Date:</w:t>
            </w:r>
          </w:p>
        </w:tc>
        <w:tc>
          <w:tcPr>
            <w:tcW w:w="4968" w:type="dxa"/>
          </w:tcPr>
          <w:p w:rsidR="002E6FF5" w:rsidRDefault="002E6FF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Medical Staff:</w:t>
            </w:r>
          </w:p>
        </w:tc>
      </w:tr>
      <w:tr w:rsidR="002E6FF5">
        <w:tc>
          <w:tcPr>
            <w:tcW w:w="3888" w:type="dxa"/>
          </w:tcPr>
          <w:p w:rsidR="002E6FF5" w:rsidRDefault="002E6FF5">
            <w:pPr>
              <w:rPr>
                <w:rFonts w:cs="Arial"/>
                <w:sz w:val="28"/>
              </w:rPr>
            </w:pPr>
          </w:p>
        </w:tc>
        <w:tc>
          <w:tcPr>
            <w:tcW w:w="4968" w:type="dxa"/>
          </w:tcPr>
          <w:p w:rsidR="002E6FF5" w:rsidRDefault="002E6FF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Governing Board:</w:t>
            </w:r>
          </w:p>
        </w:tc>
      </w:tr>
    </w:tbl>
    <w:p w:rsidR="002E6FF5" w:rsidRDefault="002E6FF5">
      <w:pPr>
        <w:rPr>
          <w:rFonts w:cs="Arial"/>
          <w:sz w:val="28"/>
        </w:rPr>
      </w:pPr>
    </w:p>
    <w:p w:rsidR="002E6FF5" w:rsidRDefault="002E6FF5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Policy:  Reappointment to the Medical Staff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appointments (except provisional) are for a period not to exceed two years. At least three months before the expiration date of a medical staff appointment, the chief executive officer will notify the appointee of the date of expiration and supply him or her with an application for reappointment packet.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Information collection and verification</w:t>
      </w:r>
    </w:p>
    <w:p w:rsidR="002E6FF5" w:rsidRDefault="002E6FF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appointees: At least 60 days before the expiration date of his or her appointment, the appointee shall provide the hospital with the following information: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complete</w:t>
      </w:r>
      <w:proofErr w:type="gramEnd"/>
      <w:r>
        <w:rPr>
          <w:rFonts w:ascii="Arial" w:eastAsia="MS Mincho" w:hAnsi="Arial" w:cs="Arial"/>
          <w:sz w:val="24"/>
        </w:rPr>
        <w:t xml:space="preserve"> information to update his or her file on items listed in his or her </w:t>
      </w:r>
      <w:r>
        <w:rPr>
          <w:rFonts w:ascii="Arial" w:eastAsia="MS Mincho" w:hAnsi="Arial" w:cs="Arial"/>
          <w:sz w:val="24"/>
        </w:rPr>
        <w:tab/>
        <w:t>original application;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continuing</w:t>
      </w:r>
      <w:proofErr w:type="gramEnd"/>
      <w:r>
        <w:rPr>
          <w:rFonts w:ascii="Arial" w:eastAsia="MS Mincho" w:hAnsi="Arial" w:cs="Arial"/>
          <w:sz w:val="24"/>
        </w:rPr>
        <w:t xml:space="preserve"> training and education external to the hospital during the </w:t>
      </w:r>
      <w:r>
        <w:rPr>
          <w:rFonts w:ascii="Arial" w:eastAsia="MS Mincho" w:hAnsi="Arial" w:cs="Arial"/>
          <w:sz w:val="24"/>
        </w:rPr>
        <w:tab/>
        <w:t>preceding period;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specific</w:t>
      </w:r>
      <w:proofErr w:type="gramEnd"/>
      <w:r>
        <w:rPr>
          <w:rFonts w:ascii="Arial" w:eastAsia="MS Mincho" w:hAnsi="Arial" w:cs="Arial"/>
          <w:sz w:val="24"/>
        </w:rPr>
        <w:t xml:space="preserve"> request for the clinical privileges sought on reappointment, with any </w:t>
      </w:r>
      <w:r>
        <w:rPr>
          <w:rFonts w:ascii="Arial" w:eastAsia="MS Mincho" w:hAnsi="Arial" w:cs="Arial"/>
          <w:sz w:val="24"/>
        </w:rPr>
        <w:tab/>
        <w:t>basis for changes; and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requests</w:t>
      </w:r>
      <w:proofErr w:type="gramEnd"/>
      <w:r>
        <w:rPr>
          <w:rFonts w:ascii="Arial" w:eastAsia="MS Mincho" w:hAnsi="Arial" w:cs="Arial"/>
          <w:sz w:val="24"/>
        </w:rPr>
        <w:t xml:space="preserve"> for changes in staff category or department assignments.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If the appointee fails, without good cause, to provide this information, the hospital will deem the failure a voluntary resignation from the medical </w:t>
      </w:r>
      <w:proofErr w:type="gramStart"/>
      <w:r>
        <w:rPr>
          <w:rFonts w:ascii="Arial" w:eastAsia="MS Mincho" w:hAnsi="Arial" w:cs="Arial"/>
          <w:sz w:val="24"/>
        </w:rPr>
        <w:t>staff,</w:t>
      </w:r>
      <w:proofErr w:type="gramEnd"/>
      <w:r>
        <w:rPr>
          <w:rFonts w:ascii="Arial" w:eastAsia="MS Mincho" w:hAnsi="Arial" w:cs="Arial"/>
          <w:sz w:val="24"/>
        </w:rPr>
        <w:t xml:space="preserve"> and the appointment will automatically expire unless the credentials committee explicitly extends the appointment for not more than two 30-day periods.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The medical staff office will verify this additional information and notify the appointee of any inadequacies in the information or verification problems. The appointee will have the </w:t>
      </w:r>
      <w:proofErr w:type="gramStart"/>
      <w:r>
        <w:rPr>
          <w:rFonts w:ascii="Arial" w:eastAsia="MS Mincho" w:hAnsi="Arial" w:cs="Arial"/>
          <w:sz w:val="24"/>
        </w:rPr>
        <w:t>burden</w:t>
      </w:r>
      <w:proofErr w:type="gramEnd"/>
      <w:r>
        <w:rPr>
          <w:rFonts w:ascii="Arial" w:eastAsia="MS Mincho" w:hAnsi="Arial" w:cs="Arial"/>
          <w:sz w:val="24"/>
        </w:rPr>
        <w:t xml:space="preserve"> of producing adequate information and resolving any doubts about the data.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>From internal and/or external sources</w:t>
      </w:r>
      <w:r>
        <w:rPr>
          <w:rFonts w:ascii="Arial" w:eastAsia="MS Mincho" w:hAnsi="Arial" w:cs="Arial"/>
          <w:sz w:val="24"/>
        </w:rPr>
        <w:t xml:space="preserve">: 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medical staff office will collect the following information regarding the appointee's professional and collegial activities: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currency</w:t>
      </w:r>
      <w:proofErr w:type="gramEnd"/>
      <w:r>
        <w:rPr>
          <w:rFonts w:ascii="Arial" w:eastAsia="MS Mincho" w:hAnsi="Arial" w:cs="Arial"/>
          <w:sz w:val="24"/>
        </w:rPr>
        <w:t xml:space="preserve"> of licensure and registrations;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professional</w:t>
      </w:r>
      <w:proofErr w:type="gramEnd"/>
      <w:r>
        <w:rPr>
          <w:rFonts w:ascii="Arial" w:eastAsia="MS Mincho" w:hAnsi="Arial" w:cs="Arial"/>
          <w:sz w:val="24"/>
        </w:rPr>
        <w:t xml:space="preserve"> board certification status;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any</w:t>
      </w:r>
      <w:proofErr w:type="gramEnd"/>
      <w:r>
        <w:rPr>
          <w:rFonts w:ascii="Arial" w:eastAsia="MS Mincho" w:hAnsi="Arial" w:cs="Arial"/>
          <w:sz w:val="24"/>
        </w:rPr>
        <w:t xml:space="preserve"> pending or completed disciplinary actions or sanctions; and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performance</w:t>
      </w:r>
      <w:proofErr w:type="gramEnd"/>
      <w:r>
        <w:rPr>
          <w:rFonts w:ascii="Arial" w:eastAsia="MS Mincho" w:hAnsi="Arial" w:cs="Arial"/>
          <w:sz w:val="24"/>
        </w:rPr>
        <w:t xml:space="preserve"> and conduct in this hospital and/or other healthcare </w:t>
      </w:r>
      <w:r>
        <w:rPr>
          <w:rFonts w:ascii="Arial" w:eastAsia="MS Mincho" w:hAnsi="Arial" w:cs="Arial"/>
          <w:sz w:val="24"/>
        </w:rPr>
        <w:tab/>
        <w:t>organizations, including his or her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-patterns of care as demonstrated in findings of quality,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-assessment/performance improvement activities,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-clinical judgment and skills in the treatment of patients,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-behavior and cooperation with hospital personnel, patients, and visitors,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-medical records/hospital reports completion,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-satisfactory completion of 40 hours of continuing medical education activities,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-attendance at required medical staff and department meetings,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-service on medical staff, department, and hospital committees,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-timely and accurate completion of medical records, and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-compliance with all applicable bylaws, policies, rules, regulations, and procedures of the hospital and staff.</w:t>
      </w:r>
      <w:proofErr w:type="gramEnd"/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hospital shall review and verify the above information according to the Initial Appointment Policy.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medical staff coordinator will compile a summary of clinical activity at this hospital for each appointee due for reappointment.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Procedure for processing applications for reappointment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medical staff office shall notify the quality improvement department of the need to collect all pertinent medical staff committee minutes and studies and to prepare a summary of findings for the appointee.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medical staff office shall send the complete file, including all documentation mentioned above, to the chair of each department in which the staff appointee requests or has exercised privileges.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>Credentials committee action</w:t>
      </w:r>
      <w:r>
        <w:rPr>
          <w:rFonts w:ascii="Arial" w:eastAsia="MS Mincho" w:hAnsi="Arial" w:cs="Arial"/>
          <w:sz w:val="24"/>
        </w:rPr>
        <w:t xml:space="preserve">: 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credentials committee will review the appointee's file, department reports, and all other relevant information and forward to the medical executive committee (MEC) a written report with recommendations regarding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reappointment</w:t>
      </w:r>
      <w:proofErr w:type="gramEnd"/>
      <w:r>
        <w:rPr>
          <w:rFonts w:ascii="Arial" w:eastAsia="MS Mincho" w:hAnsi="Arial" w:cs="Arial"/>
          <w:sz w:val="24"/>
        </w:rPr>
        <w:t>,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staff</w:t>
      </w:r>
      <w:proofErr w:type="gramEnd"/>
      <w:r>
        <w:rPr>
          <w:rFonts w:ascii="Arial" w:eastAsia="MS Mincho" w:hAnsi="Arial" w:cs="Arial"/>
          <w:sz w:val="24"/>
        </w:rPr>
        <w:t xml:space="preserve"> category,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department</w:t>
      </w:r>
      <w:proofErr w:type="gramEnd"/>
      <w:r>
        <w:rPr>
          <w:rFonts w:ascii="Arial" w:eastAsia="MS Mincho" w:hAnsi="Arial" w:cs="Arial"/>
          <w:sz w:val="24"/>
        </w:rPr>
        <w:t xml:space="preserve"> assignment, and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clinical</w:t>
      </w:r>
      <w:proofErr w:type="gramEnd"/>
      <w:r>
        <w:rPr>
          <w:rFonts w:ascii="Arial" w:eastAsia="MS Mincho" w:hAnsi="Arial" w:cs="Arial"/>
          <w:sz w:val="24"/>
        </w:rPr>
        <w:t xml:space="preserve"> privileges.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The credentials committee will follow the decision process outlined in the Initial Appointment Policy.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>MEC action:</w:t>
      </w:r>
      <w:r>
        <w:rPr>
          <w:rFonts w:ascii="Arial" w:eastAsia="MS Mincho" w:hAnsi="Arial" w:cs="Arial"/>
          <w:sz w:val="24"/>
        </w:rPr>
        <w:t xml:space="preserve">  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MEC will review the appointee's file, the department report(s), credentials committee report(s), and all relevant information available to it and forward to the board a written report with recommendations for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reappointment</w:t>
      </w:r>
      <w:proofErr w:type="gramEnd"/>
      <w:r>
        <w:rPr>
          <w:rFonts w:ascii="Arial" w:eastAsia="MS Mincho" w:hAnsi="Arial" w:cs="Arial"/>
          <w:sz w:val="24"/>
        </w:rPr>
        <w:t>,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staff</w:t>
      </w:r>
      <w:proofErr w:type="gramEnd"/>
      <w:r>
        <w:rPr>
          <w:rFonts w:ascii="Arial" w:eastAsia="MS Mincho" w:hAnsi="Arial" w:cs="Arial"/>
          <w:sz w:val="24"/>
        </w:rPr>
        <w:t xml:space="preserve"> category,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department</w:t>
      </w:r>
      <w:proofErr w:type="gramEnd"/>
      <w:r>
        <w:rPr>
          <w:rFonts w:ascii="Arial" w:eastAsia="MS Mincho" w:hAnsi="Arial" w:cs="Arial"/>
          <w:sz w:val="24"/>
        </w:rPr>
        <w:t xml:space="preserve"> assignment, and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clinical</w:t>
      </w:r>
      <w:proofErr w:type="gramEnd"/>
      <w:r>
        <w:rPr>
          <w:rFonts w:ascii="Arial" w:eastAsia="MS Mincho" w:hAnsi="Arial" w:cs="Arial"/>
          <w:sz w:val="24"/>
        </w:rPr>
        <w:t xml:space="preserve"> privileges.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MEC shall follow the decision process outlined in the Initial Appointment Policy.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If the MEC's recommendation is deemed adverse, no such adverse recommendation will be forwarded to the board until after the practitioner has exercised or has waived his or her right to a hearing as provided in the medical staff bylaws.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Final processing and governing board action: To complete processing of the application, the hospital shall follow the procedures in the Initial Appointment Policy with the following changes: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an</w:t>
      </w:r>
      <w:proofErr w:type="gramEnd"/>
      <w:r>
        <w:rPr>
          <w:rFonts w:ascii="Arial" w:eastAsia="MS Mincho" w:hAnsi="Arial" w:cs="Arial"/>
          <w:sz w:val="24"/>
        </w:rPr>
        <w:t xml:space="preserve"> "adverse recommendation" by the board will mean a recommendation or </w:t>
      </w:r>
      <w:r>
        <w:rPr>
          <w:rFonts w:ascii="Arial" w:eastAsia="MS Mincho" w:hAnsi="Arial" w:cs="Arial"/>
          <w:sz w:val="24"/>
        </w:rPr>
        <w:tab/>
        <w:t>action to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-deny reappointment,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-deny a requested change in the appointee's staff category or department assignment,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-change, without the staff appointee's consent, his or her staff category or department assignment, or</w:t>
      </w:r>
    </w:p>
    <w:p w:rsidR="002E6FF5" w:rsidRDefault="002E6FF5">
      <w:pPr>
        <w:pStyle w:val="PlainText"/>
        <w:ind w:left="216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-deny or restrict requested clinical privileges; and</w:t>
      </w:r>
    </w:p>
    <w:p w:rsidR="002E6FF5" w:rsidRDefault="002E6FF5">
      <w:pPr>
        <w:pStyle w:val="PlainText"/>
        <w:ind w:left="7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•</w:t>
      </w:r>
      <w:r>
        <w:rPr>
          <w:rFonts w:ascii="Arial" w:eastAsia="MS Mincho" w:hAnsi="Arial" w:cs="Arial"/>
          <w:sz w:val="24"/>
        </w:rPr>
        <w:tab/>
      </w:r>
      <w:proofErr w:type="gramStart"/>
      <w:r>
        <w:rPr>
          <w:rFonts w:ascii="Arial" w:eastAsia="MS Mincho" w:hAnsi="Arial" w:cs="Arial"/>
          <w:sz w:val="24"/>
        </w:rPr>
        <w:t>the</w:t>
      </w:r>
      <w:proofErr w:type="gramEnd"/>
      <w:r>
        <w:rPr>
          <w:rFonts w:ascii="Arial" w:eastAsia="MS Mincho" w:hAnsi="Arial" w:cs="Arial"/>
          <w:sz w:val="24"/>
        </w:rPr>
        <w:t xml:space="preserve"> terms "applicant" and "appointment," as used in these sections, shall be </w:t>
      </w:r>
      <w:r>
        <w:rPr>
          <w:rFonts w:ascii="Arial" w:eastAsia="MS Mincho" w:hAnsi="Arial" w:cs="Arial"/>
          <w:sz w:val="24"/>
        </w:rPr>
        <w:tab/>
        <w:t>read respectively, as "appointee" and "reappointment".</w:t>
      </w:r>
    </w:p>
    <w:p w:rsidR="002E6FF5" w:rsidRDefault="002E6FF5">
      <w:pPr>
        <w:pStyle w:val="PlainText"/>
        <w:rPr>
          <w:rFonts w:ascii="Arial" w:eastAsia="MS Mincho" w:hAnsi="Arial" w:cs="Arial"/>
          <w:sz w:val="24"/>
        </w:rPr>
      </w:pPr>
    </w:p>
    <w:sectPr w:rsidR="002E6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78" w:rsidRDefault="00B76357">
      <w:r>
        <w:separator/>
      </w:r>
    </w:p>
  </w:endnote>
  <w:endnote w:type="continuationSeparator" w:id="0">
    <w:p w:rsidR="00191478" w:rsidRDefault="00B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B4" w:rsidRDefault="00FB0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F5" w:rsidRDefault="002E6FF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05B4">
      <w:rPr>
        <w:noProof/>
      </w:rPr>
      <w:t>3</w:t>
    </w:r>
    <w:r>
      <w:fldChar w:fldCharType="end"/>
    </w:r>
    <w:r>
      <w:t xml:space="preserve"> of </w:t>
    </w:r>
    <w:fldSimple w:instr=" NUMPAGES ">
      <w:r w:rsidR="00FB05B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B4" w:rsidRDefault="00FB0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78" w:rsidRDefault="00B76357">
      <w:r>
        <w:separator/>
      </w:r>
    </w:p>
  </w:footnote>
  <w:footnote w:type="continuationSeparator" w:id="0">
    <w:p w:rsidR="00191478" w:rsidRDefault="00B7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B4" w:rsidRDefault="00FB0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653185"/>
      <w:docPartObj>
        <w:docPartGallery w:val="Watermarks"/>
        <w:docPartUnique/>
      </w:docPartObj>
    </w:sdtPr>
    <w:sdtContent>
      <w:p w:rsidR="00FB05B4" w:rsidRDefault="00FB05B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B4" w:rsidRDefault="00FB0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F"/>
    <w:rsid w:val="000F012F"/>
    <w:rsid w:val="00191478"/>
    <w:rsid w:val="002E6FF5"/>
    <w:rsid w:val="00AE62FE"/>
    <w:rsid w:val="00B76357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Name</vt:lpstr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Name</dc:title>
  <dc:creator>Cathy Pfaff</dc:creator>
  <cp:lastModifiedBy>Belinda Begger</cp:lastModifiedBy>
  <cp:revision>3</cp:revision>
  <cp:lastPrinted>2005-03-22T21:42:00Z</cp:lastPrinted>
  <dcterms:created xsi:type="dcterms:W3CDTF">2012-02-08T22:35:00Z</dcterms:created>
  <dcterms:modified xsi:type="dcterms:W3CDTF">2012-04-04T22:11:00Z</dcterms:modified>
</cp:coreProperties>
</file>