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8B" w:rsidRDefault="0001458B" w:rsidP="0001458B">
      <w:pPr>
        <w:jc w:val="center"/>
        <w:rPr>
          <w:b/>
          <w:bCs/>
        </w:rPr>
      </w:pPr>
      <w:bookmarkStart w:id="0" w:name="_GoBack"/>
      <w:bookmarkEnd w:id="0"/>
      <w:r>
        <w:rPr>
          <w:b/>
          <w:bCs/>
        </w:rPr>
        <w:t>Prairie County Hospital District</w:t>
      </w:r>
    </w:p>
    <w:p w:rsidR="0001458B" w:rsidRPr="00E83DA1" w:rsidRDefault="0001458B" w:rsidP="0001458B">
      <w:pPr>
        <w:jc w:val="center"/>
        <w:rPr>
          <w:b/>
          <w:bCs/>
        </w:rPr>
      </w:pPr>
      <w:r>
        <w:rPr>
          <w:b/>
          <w:bCs/>
        </w:rPr>
        <w:t>Policies &amp; Procedures</w:t>
      </w:r>
    </w:p>
    <w:p w:rsidR="0001458B" w:rsidRPr="00E83DA1" w:rsidRDefault="0001458B" w:rsidP="0001458B">
      <w:pPr>
        <w:rPr>
          <w:b/>
          <w:bCs/>
        </w:rPr>
      </w:pPr>
    </w:p>
    <w:p w:rsidR="0001458B" w:rsidRPr="00E83DA1" w:rsidRDefault="002E7A87" w:rsidP="0001458B">
      <w:pPr>
        <w:rPr>
          <w:b/>
          <w:bCs/>
        </w:rPr>
      </w:pPr>
      <w:r>
        <w:rPr>
          <w:b/>
          <w:bCs/>
        </w:rPr>
        <w:t>SUBJE</w:t>
      </w:r>
      <w:r w:rsidR="003E6D3E">
        <w:rPr>
          <w:b/>
          <w:bCs/>
        </w:rPr>
        <w:t xml:space="preserve">CT:  </w:t>
      </w:r>
      <w:r w:rsidR="00470DD1">
        <w:rPr>
          <w:b/>
          <w:caps/>
        </w:rPr>
        <w:t>DECLOTTING CENTRAL VENOUS CATHETERS</w:t>
      </w:r>
      <w:r w:rsidR="00470DD1">
        <w:rPr>
          <w:b/>
          <w:caps/>
        </w:rPr>
        <w:tab/>
      </w:r>
      <w:r w:rsidR="00470DD1">
        <w:rPr>
          <w:b/>
          <w:caps/>
        </w:rPr>
        <w:tab/>
      </w:r>
      <w:r w:rsidR="00470DD1">
        <w:rPr>
          <w:b/>
          <w:bCs/>
        </w:rPr>
        <w:t>Nursing</w:t>
      </w:r>
    </w:p>
    <w:p w:rsidR="0001458B" w:rsidRPr="00E83DA1" w:rsidRDefault="0001458B" w:rsidP="0001458B">
      <w:pPr>
        <w:rPr>
          <w:b/>
          <w:bCs/>
        </w:rPr>
      </w:pPr>
      <w:r w:rsidRPr="00E83DA1">
        <w:rPr>
          <w:b/>
          <w:bCs/>
        </w:rPr>
        <w:t>_____________________________________</w:t>
      </w:r>
      <w:r>
        <w:rPr>
          <w:b/>
          <w:bCs/>
        </w:rPr>
        <w:t>_________</w:t>
      </w:r>
      <w:r w:rsidRPr="00E83DA1">
        <w:rPr>
          <w:b/>
          <w:bCs/>
        </w:rPr>
        <w:t>________________________________</w:t>
      </w:r>
    </w:p>
    <w:p w:rsidR="0001458B" w:rsidRPr="00E83DA1" w:rsidRDefault="0001458B" w:rsidP="0001458B">
      <w:pPr>
        <w:rPr>
          <w:b/>
          <w:bCs/>
        </w:rPr>
      </w:pPr>
    </w:p>
    <w:p w:rsidR="0001458B" w:rsidRPr="00E83DA1" w:rsidRDefault="0001458B" w:rsidP="0001458B">
      <w:pPr>
        <w:tabs>
          <w:tab w:val="left" w:pos="-1440"/>
        </w:tabs>
        <w:ind w:left="6480" w:hanging="6480"/>
        <w:rPr>
          <w:b/>
          <w:bCs/>
        </w:rPr>
      </w:pPr>
      <w:r w:rsidRPr="00E83DA1">
        <w:rPr>
          <w:b/>
          <w:bCs/>
        </w:rPr>
        <w:t xml:space="preserve">Written / Revised By: </w:t>
      </w:r>
      <w:r>
        <w:rPr>
          <w:b/>
          <w:bCs/>
        </w:rPr>
        <w:t xml:space="preserve"> </w:t>
      </w:r>
      <w:r w:rsidR="00470DD1">
        <w:rPr>
          <w:b/>
          <w:bCs/>
        </w:rPr>
        <w:t>Susan K Morgan, RN, DNS</w:t>
      </w:r>
      <w:r w:rsidR="00E25D2E">
        <w:rPr>
          <w:b/>
          <w:bCs/>
        </w:rPr>
        <w:tab/>
      </w:r>
      <w:r w:rsidRPr="00E83DA1">
        <w:rPr>
          <w:b/>
          <w:bCs/>
        </w:rPr>
        <w:t xml:space="preserve">Original Date: </w:t>
      </w:r>
      <w:r w:rsidR="00E25D2E">
        <w:rPr>
          <w:b/>
          <w:bCs/>
        </w:rPr>
        <w:t xml:space="preserve"> </w:t>
      </w:r>
    </w:p>
    <w:p w:rsidR="0001458B" w:rsidRPr="00E83DA1" w:rsidRDefault="0001458B" w:rsidP="0001458B">
      <w:pPr>
        <w:rPr>
          <w:b/>
          <w:bCs/>
        </w:rPr>
      </w:pPr>
    </w:p>
    <w:p w:rsidR="0001458B" w:rsidRPr="00E83DA1" w:rsidRDefault="0001458B" w:rsidP="0001458B">
      <w:pPr>
        <w:tabs>
          <w:tab w:val="left" w:pos="-1440"/>
        </w:tabs>
        <w:ind w:left="6480" w:hanging="6480"/>
        <w:rPr>
          <w:b/>
          <w:bCs/>
        </w:rPr>
      </w:pPr>
      <w:r w:rsidRPr="00E83DA1">
        <w:rPr>
          <w:b/>
          <w:bCs/>
        </w:rPr>
        <w:t xml:space="preserve">Policies &amp; Procedures </w:t>
      </w:r>
      <w:r>
        <w:rPr>
          <w:b/>
          <w:bCs/>
        </w:rPr>
        <w:t>Review/Effective Date:</w:t>
      </w:r>
      <w:r>
        <w:rPr>
          <w:b/>
          <w:bCs/>
        </w:rPr>
        <w:tab/>
        <w:t>Previous Revision</w:t>
      </w:r>
      <w:r w:rsidRPr="00E83DA1">
        <w:rPr>
          <w:b/>
          <w:bCs/>
        </w:rPr>
        <w:t xml:space="preserve">: </w:t>
      </w:r>
      <w:r>
        <w:rPr>
          <w:b/>
          <w:bCs/>
        </w:rPr>
        <w:t xml:space="preserve"> </w:t>
      </w:r>
    </w:p>
    <w:p w:rsidR="0001458B" w:rsidRPr="00E83DA1" w:rsidRDefault="0001458B" w:rsidP="0001458B">
      <w:pPr>
        <w:rPr>
          <w:b/>
          <w:bCs/>
        </w:rPr>
      </w:pPr>
    </w:p>
    <w:p w:rsidR="0001458B" w:rsidRPr="00E83DA1" w:rsidRDefault="0001458B" w:rsidP="0001458B">
      <w:pPr>
        <w:tabs>
          <w:tab w:val="left" w:pos="-1440"/>
        </w:tabs>
        <w:ind w:left="6480" w:hanging="6480"/>
        <w:rPr>
          <w:b/>
          <w:bCs/>
        </w:rPr>
      </w:pPr>
      <w:r w:rsidRPr="00E83DA1">
        <w:rPr>
          <w:b/>
          <w:bCs/>
        </w:rPr>
        <w:t>Approved By: ____________________________________</w:t>
      </w:r>
      <w:r w:rsidRPr="00E83DA1">
        <w:rPr>
          <w:b/>
          <w:bCs/>
        </w:rPr>
        <w:tab/>
      </w:r>
      <w:r>
        <w:rPr>
          <w:b/>
          <w:bCs/>
        </w:rPr>
        <w:t>Recent Change</w:t>
      </w:r>
      <w:r w:rsidRPr="00E83DA1">
        <w:rPr>
          <w:b/>
          <w:bCs/>
        </w:rPr>
        <w:t xml:space="preserve"> Date:</w:t>
      </w:r>
      <w:r>
        <w:rPr>
          <w:b/>
          <w:bCs/>
        </w:rPr>
        <w:t xml:space="preserve"> </w:t>
      </w:r>
      <w:r w:rsidRPr="00E83DA1">
        <w:rPr>
          <w:b/>
          <w:bCs/>
        </w:rPr>
        <w:t xml:space="preserve"> </w:t>
      </w:r>
    </w:p>
    <w:p w:rsidR="0001458B" w:rsidRDefault="00D100CB" w:rsidP="0001458B">
      <w:pPr>
        <w:widowControl/>
        <w:ind w:left="2160"/>
        <w:jc w:val="both"/>
        <w:rPr>
          <w:b/>
          <w:bCs/>
        </w:rPr>
      </w:pPr>
      <w:r>
        <w:rPr>
          <w:b/>
          <w:bCs/>
        </w:rPr>
        <w:t>Board of Trustees</w:t>
      </w:r>
      <w:r w:rsidR="0001458B">
        <w:rPr>
          <w:b/>
          <w:bCs/>
        </w:rPr>
        <w:t>, Chair</w:t>
      </w:r>
    </w:p>
    <w:p w:rsidR="0001458B" w:rsidRPr="00E83DA1" w:rsidRDefault="0001458B" w:rsidP="0001458B">
      <w:pPr>
        <w:rPr>
          <w:b/>
          <w:bCs/>
        </w:rPr>
      </w:pPr>
      <w:r w:rsidRPr="00E83DA1">
        <w:rPr>
          <w:b/>
          <w:bCs/>
        </w:rPr>
        <w:t>___________________________________________________________</w:t>
      </w:r>
      <w:r>
        <w:rPr>
          <w:b/>
          <w:bCs/>
        </w:rPr>
        <w:t>_________</w:t>
      </w:r>
      <w:r w:rsidRPr="00E83DA1">
        <w:rPr>
          <w:b/>
          <w:bCs/>
        </w:rPr>
        <w:t>__________</w:t>
      </w:r>
    </w:p>
    <w:p w:rsidR="002A6B97" w:rsidRDefault="00DA7B90"/>
    <w:p w:rsidR="00BE3AD5" w:rsidRPr="00E25D2E" w:rsidRDefault="00BE3AD5" w:rsidP="00E25D2E">
      <w:pPr>
        <w:pStyle w:val="ListParagraph"/>
        <w:ind w:left="0"/>
        <w:jc w:val="both"/>
      </w:pPr>
      <w:r>
        <w:rPr>
          <w:b/>
          <w:sz w:val="28"/>
        </w:rPr>
        <w:t xml:space="preserve">Policy:  </w:t>
      </w:r>
      <w:r w:rsidR="00470DD1">
        <w:rPr>
          <w:bCs/>
        </w:rPr>
        <w:t>Patency of central line catheters obstructed by clotted blood or fibrin will be restored.</w:t>
      </w:r>
      <w:r w:rsidR="00D100CB">
        <w:rPr>
          <w:bCs/>
        </w:rPr>
        <w:t xml:space="preserve">  </w:t>
      </w:r>
      <w:r w:rsidR="00E25D2E" w:rsidRPr="004807A1">
        <w:t xml:space="preserve">  </w:t>
      </w:r>
    </w:p>
    <w:p w:rsidR="00BE3AD5" w:rsidRDefault="00BE3AD5" w:rsidP="00BE3AD5">
      <w:pPr>
        <w:rPr>
          <w:sz w:val="28"/>
        </w:rPr>
      </w:pPr>
    </w:p>
    <w:p w:rsidR="00BE3AD5" w:rsidRDefault="00BE3AD5" w:rsidP="00E25D2E">
      <w:pPr>
        <w:jc w:val="both"/>
        <w:rPr>
          <w:bCs/>
        </w:rPr>
      </w:pPr>
      <w:r>
        <w:rPr>
          <w:b/>
          <w:sz w:val="28"/>
        </w:rPr>
        <w:t xml:space="preserve">Purpose: </w:t>
      </w:r>
      <w:r w:rsidR="00470DD1">
        <w:rPr>
          <w:bCs/>
        </w:rPr>
        <w:t>The purpose of this policy is to describe the procedure for declotting central venous catheters and access devices utilizing CathFlo Activase.</w:t>
      </w:r>
      <w:r w:rsidR="00D100CB">
        <w:rPr>
          <w:bCs/>
        </w:rPr>
        <w:t xml:space="preserve"> </w:t>
      </w:r>
    </w:p>
    <w:p w:rsidR="00BE3AD5" w:rsidRDefault="00BE3AD5" w:rsidP="00BE3AD5">
      <w:pPr>
        <w:rPr>
          <w:sz w:val="28"/>
        </w:rPr>
      </w:pPr>
    </w:p>
    <w:p w:rsidR="00470DD1" w:rsidRDefault="00470DD1" w:rsidP="00E25D2E">
      <w:pPr>
        <w:rPr>
          <w:b/>
          <w:sz w:val="28"/>
        </w:rPr>
      </w:pPr>
      <w:r>
        <w:rPr>
          <w:b/>
          <w:sz w:val="28"/>
        </w:rPr>
        <w:t>General Considerations:</w:t>
      </w:r>
    </w:p>
    <w:p w:rsidR="00470DD1" w:rsidRDefault="00470DD1" w:rsidP="00470DD1">
      <w:pPr>
        <w:pStyle w:val="ListParagraph"/>
        <w:numPr>
          <w:ilvl w:val="0"/>
          <w:numId w:val="29"/>
        </w:numPr>
      </w:pPr>
      <w:r>
        <w:t xml:space="preserve">A thrombolytic agent, such as CathFlo, may be utilized to </w:t>
      </w:r>
      <w:proofErr w:type="spellStart"/>
      <w:r>
        <w:t>declot</w:t>
      </w:r>
      <w:proofErr w:type="spellEnd"/>
      <w:r>
        <w:t xml:space="preserve"> catheters if ordered by a medical provider.</w:t>
      </w:r>
    </w:p>
    <w:p w:rsidR="00470DD1" w:rsidRDefault="00470DD1" w:rsidP="00470DD1">
      <w:pPr>
        <w:pStyle w:val="ListParagraph"/>
        <w:numPr>
          <w:ilvl w:val="0"/>
          <w:numId w:val="29"/>
        </w:numPr>
      </w:pPr>
      <w:r>
        <w:t>Use of CathFlo for catheter declotting is contraindicated in patients with the following:</w:t>
      </w:r>
    </w:p>
    <w:p w:rsidR="00470DD1" w:rsidRDefault="00470DD1" w:rsidP="00470DD1">
      <w:pPr>
        <w:pStyle w:val="ListParagraph"/>
        <w:numPr>
          <w:ilvl w:val="1"/>
          <w:numId w:val="29"/>
        </w:numPr>
      </w:pPr>
      <w:r>
        <w:t>Active internal bleeding (within 2 months)</w:t>
      </w:r>
    </w:p>
    <w:p w:rsidR="00470DD1" w:rsidRDefault="00470DD1" w:rsidP="00470DD1">
      <w:pPr>
        <w:pStyle w:val="ListParagraph"/>
        <w:numPr>
          <w:ilvl w:val="1"/>
          <w:numId w:val="29"/>
        </w:numPr>
      </w:pPr>
      <w:r>
        <w:t>Recent cerebral vascular accident (within 2 months)</w:t>
      </w:r>
    </w:p>
    <w:p w:rsidR="00470DD1" w:rsidRDefault="00470DD1" w:rsidP="00470DD1">
      <w:pPr>
        <w:pStyle w:val="ListParagraph"/>
        <w:numPr>
          <w:ilvl w:val="1"/>
          <w:numId w:val="29"/>
        </w:numPr>
      </w:pPr>
      <w:r>
        <w:t>Surgery, obstetrical delivery, percutaneous biopsy of viscera or deep tissues, or puncture of non-compressible vessels (within 48 hours)</w:t>
      </w:r>
    </w:p>
    <w:p w:rsidR="00470DD1" w:rsidRDefault="00470DD1" w:rsidP="00470DD1">
      <w:pPr>
        <w:pStyle w:val="ListParagraph"/>
        <w:numPr>
          <w:ilvl w:val="1"/>
          <w:numId w:val="29"/>
        </w:numPr>
      </w:pPr>
      <w:r>
        <w:t>Intracranial neoplasm</w:t>
      </w:r>
    </w:p>
    <w:p w:rsidR="00470DD1" w:rsidRPr="00470DD1" w:rsidRDefault="00470DD1" w:rsidP="00470DD1">
      <w:pPr>
        <w:pStyle w:val="ListParagraph"/>
        <w:numPr>
          <w:ilvl w:val="0"/>
          <w:numId w:val="29"/>
        </w:numPr>
      </w:pPr>
      <w:r>
        <w:t>This procedure is performed by a Registered Nurse</w:t>
      </w:r>
    </w:p>
    <w:p w:rsidR="00470DD1" w:rsidRDefault="00470DD1" w:rsidP="00E25D2E">
      <w:pPr>
        <w:rPr>
          <w:b/>
          <w:sz w:val="28"/>
        </w:rPr>
      </w:pPr>
    </w:p>
    <w:p w:rsidR="00BE3AD5" w:rsidRDefault="00C21EA8" w:rsidP="00E25D2E">
      <w:pPr>
        <w:rPr>
          <w:b/>
          <w:sz w:val="28"/>
        </w:rPr>
      </w:pPr>
      <w:r>
        <w:rPr>
          <w:b/>
          <w:sz w:val="28"/>
        </w:rPr>
        <w:t>Practice</w:t>
      </w:r>
      <w:r w:rsidR="00BE3AD5">
        <w:rPr>
          <w:b/>
          <w:sz w:val="28"/>
        </w:rPr>
        <w:t xml:space="preserve">: </w:t>
      </w:r>
    </w:p>
    <w:p w:rsidR="00E25D2E" w:rsidRDefault="00470DD1" w:rsidP="00470DD1">
      <w:pPr>
        <w:pStyle w:val="ListParagraph"/>
        <w:numPr>
          <w:ilvl w:val="0"/>
          <w:numId w:val="30"/>
        </w:numPr>
        <w:contextualSpacing/>
        <w:jc w:val="both"/>
      </w:pPr>
      <w:r>
        <w:t xml:space="preserve">A medical provider order is required for the use of </w:t>
      </w:r>
      <w:proofErr w:type="spellStart"/>
      <w:r>
        <w:t>CathFlo</w:t>
      </w:r>
      <w:proofErr w:type="spellEnd"/>
      <w:r>
        <w:t xml:space="preserve"> to </w:t>
      </w:r>
      <w:proofErr w:type="spellStart"/>
      <w:r>
        <w:t>declot</w:t>
      </w:r>
      <w:proofErr w:type="spellEnd"/>
      <w:r>
        <w:t xml:space="preserve"> catheters</w:t>
      </w:r>
    </w:p>
    <w:p w:rsidR="00470DD1" w:rsidRDefault="00470DD1" w:rsidP="00470DD1">
      <w:pPr>
        <w:pStyle w:val="ListParagraph"/>
        <w:numPr>
          <w:ilvl w:val="0"/>
          <w:numId w:val="30"/>
        </w:numPr>
        <w:contextualSpacing/>
        <w:jc w:val="both"/>
      </w:pPr>
      <w:r>
        <w:t>Before administering the CathFlo, explain the procedure to the patient and family.  Answer any questions.</w:t>
      </w:r>
    </w:p>
    <w:p w:rsidR="00470DD1" w:rsidRDefault="00470DD1" w:rsidP="00470DD1">
      <w:pPr>
        <w:pStyle w:val="ListParagraph"/>
        <w:numPr>
          <w:ilvl w:val="0"/>
          <w:numId w:val="30"/>
        </w:numPr>
        <w:contextualSpacing/>
        <w:jc w:val="both"/>
      </w:pPr>
      <w:r>
        <w:t>Equipment and Supplies needed</w:t>
      </w:r>
    </w:p>
    <w:p w:rsidR="00470DD1" w:rsidRDefault="00470DD1" w:rsidP="00470DD1">
      <w:pPr>
        <w:pStyle w:val="ListParagraph"/>
        <w:numPr>
          <w:ilvl w:val="1"/>
          <w:numId w:val="30"/>
        </w:numPr>
        <w:contextualSpacing/>
        <w:jc w:val="both"/>
      </w:pPr>
      <w:proofErr w:type="spellStart"/>
      <w:r>
        <w:t>Luer</w:t>
      </w:r>
      <w:proofErr w:type="spellEnd"/>
      <w:r>
        <w:t>-lock syringes (1) 10 mL,   (1) 3 mL, (1) 30 mL</w:t>
      </w:r>
    </w:p>
    <w:p w:rsidR="00470DD1" w:rsidRDefault="00470DD1" w:rsidP="00470DD1">
      <w:pPr>
        <w:pStyle w:val="ListParagraph"/>
        <w:numPr>
          <w:ilvl w:val="1"/>
          <w:numId w:val="30"/>
        </w:numPr>
        <w:contextualSpacing/>
        <w:jc w:val="both"/>
      </w:pPr>
      <w:r>
        <w:t>Sterile 3-way stopcock</w:t>
      </w:r>
    </w:p>
    <w:p w:rsidR="00C21EA8" w:rsidRDefault="00C21EA8" w:rsidP="00470DD1">
      <w:pPr>
        <w:pStyle w:val="ListParagraph"/>
        <w:numPr>
          <w:ilvl w:val="1"/>
          <w:numId w:val="30"/>
        </w:numPr>
        <w:contextualSpacing/>
        <w:jc w:val="both"/>
      </w:pPr>
      <w:r>
        <w:t>Use 5 micron filter needle</w:t>
      </w:r>
    </w:p>
    <w:p w:rsidR="00470DD1" w:rsidRDefault="00470DD1" w:rsidP="00470DD1">
      <w:pPr>
        <w:pStyle w:val="ListParagraph"/>
        <w:numPr>
          <w:ilvl w:val="1"/>
          <w:numId w:val="30"/>
        </w:numPr>
        <w:contextualSpacing/>
        <w:jc w:val="both"/>
      </w:pPr>
      <w:r>
        <w:t>Alcohol wipes</w:t>
      </w:r>
    </w:p>
    <w:p w:rsidR="00470DD1" w:rsidRDefault="00470DD1" w:rsidP="00470DD1">
      <w:pPr>
        <w:pStyle w:val="ListParagraph"/>
        <w:numPr>
          <w:ilvl w:val="1"/>
          <w:numId w:val="30"/>
        </w:numPr>
        <w:contextualSpacing/>
        <w:jc w:val="both"/>
      </w:pPr>
      <w:r>
        <w:t>Sterile water for injection.  DO NOT USE BACTERIOSTATIC WATER FOR INJECTION</w:t>
      </w:r>
    </w:p>
    <w:p w:rsidR="00470DD1" w:rsidRDefault="00C21EA8" w:rsidP="00470DD1">
      <w:pPr>
        <w:pStyle w:val="ListParagraph"/>
        <w:numPr>
          <w:ilvl w:val="1"/>
          <w:numId w:val="30"/>
        </w:numPr>
        <w:contextualSpacing/>
        <w:jc w:val="both"/>
      </w:pPr>
      <w:r>
        <w:t>CathFlo vial diluted to the concentration of 1mg/mL (dilute according to step 2 below)</w:t>
      </w:r>
    </w:p>
    <w:p w:rsidR="00C21EA8" w:rsidRDefault="00C21EA8" w:rsidP="00C21EA8">
      <w:pPr>
        <w:pStyle w:val="ListParagraph"/>
        <w:numPr>
          <w:ilvl w:val="0"/>
          <w:numId w:val="30"/>
        </w:numPr>
        <w:contextualSpacing/>
        <w:jc w:val="both"/>
      </w:pPr>
      <w:r>
        <w:t>Document the administration of CathFlo and the outcome in the nurses’ notes and on the MAR</w:t>
      </w:r>
    </w:p>
    <w:p w:rsidR="00C21EA8" w:rsidRDefault="00C21EA8" w:rsidP="00C21EA8">
      <w:pPr>
        <w:pStyle w:val="ListParagraph"/>
        <w:numPr>
          <w:ilvl w:val="0"/>
          <w:numId w:val="30"/>
        </w:numPr>
        <w:contextualSpacing/>
        <w:jc w:val="both"/>
      </w:pPr>
      <w:r>
        <w:lastRenderedPageBreak/>
        <w:t>CathFlo should be administered according to procedure below:</w:t>
      </w:r>
    </w:p>
    <w:p w:rsidR="00C21EA8" w:rsidRPr="004807A1" w:rsidRDefault="00C21EA8" w:rsidP="00C21EA8">
      <w:pPr>
        <w:pStyle w:val="ListParagraph"/>
        <w:contextualSpacing/>
        <w:jc w:val="both"/>
      </w:pPr>
    </w:p>
    <w:p w:rsidR="00E25D2E" w:rsidRDefault="00C21EA8" w:rsidP="00E25D2E">
      <w:pPr>
        <w:rPr>
          <w:b/>
          <w:sz w:val="28"/>
        </w:rPr>
      </w:pPr>
      <w:r>
        <w:rPr>
          <w:b/>
          <w:sz w:val="28"/>
        </w:rPr>
        <w:t>Procedure:</w:t>
      </w:r>
    </w:p>
    <w:p w:rsidR="00C21EA8" w:rsidRPr="00C21EA8" w:rsidRDefault="00C21EA8" w:rsidP="00C21EA8">
      <w:pPr>
        <w:pStyle w:val="ListParagraph"/>
        <w:numPr>
          <w:ilvl w:val="0"/>
          <w:numId w:val="31"/>
        </w:numPr>
        <w:rPr>
          <w:b/>
          <w:sz w:val="28"/>
        </w:rPr>
      </w:pPr>
      <w:r>
        <w:t>Clamp catheter as appropriate to prevent air emboli, remove the cap, and attach a 3-way stopcock to the catheter hub</w:t>
      </w:r>
    </w:p>
    <w:p w:rsidR="00C21EA8" w:rsidRPr="00C21EA8" w:rsidRDefault="00C21EA8" w:rsidP="00C21EA8">
      <w:pPr>
        <w:pStyle w:val="ListParagraph"/>
        <w:numPr>
          <w:ilvl w:val="0"/>
          <w:numId w:val="31"/>
        </w:numPr>
        <w:rPr>
          <w:b/>
          <w:sz w:val="28"/>
        </w:rPr>
      </w:pPr>
      <w:r>
        <w:t>Dilution of CathFlo</w:t>
      </w:r>
    </w:p>
    <w:p w:rsidR="00C21EA8" w:rsidRDefault="00C21EA8" w:rsidP="00C21EA8">
      <w:pPr>
        <w:pStyle w:val="ListParagraph"/>
        <w:numPr>
          <w:ilvl w:val="1"/>
          <w:numId w:val="30"/>
        </w:numPr>
        <w:contextualSpacing/>
        <w:jc w:val="both"/>
      </w:pPr>
      <w:r>
        <w:t>Aseptically withdraw 2.2 mL of Sterile Water for Injection.  DO NOT USE BACTERIOSTATIC WATER FOR INJECTION</w:t>
      </w:r>
    </w:p>
    <w:p w:rsidR="00C21EA8" w:rsidRDefault="00C21EA8" w:rsidP="00C21EA8">
      <w:pPr>
        <w:pStyle w:val="ListParagraph"/>
        <w:numPr>
          <w:ilvl w:val="1"/>
          <w:numId w:val="30"/>
        </w:numPr>
      </w:pPr>
      <w:r w:rsidRPr="00C21EA8">
        <w:t xml:space="preserve">Inject 2.2 mL </w:t>
      </w:r>
      <w:r>
        <w:t xml:space="preserve">of Sterile Water for injection </w:t>
      </w:r>
      <w:proofErr w:type="spellStart"/>
      <w:r>
        <w:t>inot</w:t>
      </w:r>
      <w:proofErr w:type="spellEnd"/>
      <w:r>
        <w:t xml:space="preserve"> the </w:t>
      </w:r>
      <w:proofErr w:type="spellStart"/>
      <w:r>
        <w:t>CathFlo</w:t>
      </w:r>
      <w:proofErr w:type="spellEnd"/>
      <w:r>
        <w:t xml:space="preserve"> </w:t>
      </w:r>
      <w:proofErr w:type="spellStart"/>
      <w:r>
        <w:t>Activase</w:t>
      </w:r>
      <w:proofErr w:type="spellEnd"/>
      <w:r>
        <w:t xml:space="preserve"> vial, directing the stream into the powder.  Slight foaming is not unusual; let the vial stand undisturbed to allow large bubbles to dissipate.</w:t>
      </w:r>
    </w:p>
    <w:p w:rsidR="00C21EA8" w:rsidRDefault="00C21EA8" w:rsidP="00C21EA8">
      <w:pPr>
        <w:pStyle w:val="ListParagraph"/>
        <w:numPr>
          <w:ilvl w:val="1"/>
          <w:numId w:val="30"/>
        </w:numPr>
      </w:pPr>
      <w:r>
        <w:t>Mix by gently swirling until the contents are completely dissolved.  Complete dissolution occurs within 3 minutes.  DO NOT SHAKE.  The reconstituted preparation results in a colorless to pale yellow transparent solution containing 1 mg/ mL CathFlo Activase.</w:t>
      </w:r>
    </w:p>
    <w:p w:rsidR="00C21EA8" w:rsidRDefault="00C21EA8" w:rsidP="00C21EA8">
      <w:pPr>
        <w:pStyle w:val="ListParagraph"/>
        <w:numPr>
          <w:ilvl w:val="1"/>
          <w:numId w:val="30"/>
        </w:numPr>
      </w:pPr>
      <w:r>
        <w:t xml:space="preserve">CathFlo Activase contains no antibacterial preservatives and should be reconstituted immediately before use.   The solution may be used for </w:t>
      </w:r>
      <w:proofErr w:type="spellStart"/>
      <w:r>
        <w:t>intracatheter</w:t>
      </w:r>
      <w:proofErr w:type="spellEnd"/>
      <w:r>
        <w:t xml:space="preserve"> instillation within 8 hours of reconstitution</w:t>
      </w:r>
    </w:p>
    <w:p w:rsidR="00EC781C" w:rsidRDefault="00C21EA8" w:rsidP="00C21EA8">
      <w:pPr>
        <w:pStyle w:val="ListParagraph"/>
        <w:numPr>
          <w:ilvl w:val="1"/>
          <w:numId w:val="30"/>
        </w:numPr>
      </w:pPr>
      <w:r>
        <w:t>Fill the 3 mL syringe with 2 mL CathFlo for patients weighing 10 to &lt; 30 kg.  Fill the syringe wi</w:t>
      </w:r>
      <w:r w:rsidR="00EC781C">
        <w:t>th 110% of the internal lumen of the catheter, not to exceed 2 mg in 2 mL</w:t>
      </w:r>
    </w:p>
    <w:p w:rsidR="00C21EA8" w:rsidRDefault="00EC781C" w:rsidP="00EC781C">
      <w:pPr>
        <w:pStyle w:val="ListParagraph"/>
        <w:numPr>
          <w:ilvl w:val="0"/>
          <w:numId w:val="30"/>
        </w:numPr>
      </w:pPr>
      <w:r>
        <w:t>Prior to instilling CathFlo, attempt to aspirate the NS from within the catheter</w:t>
      </w:r>
    </w:p>
    <w:p w:rsidR="00EC781C" w:rsidRDefault="00EC781C" w:rsidP="00EC781C">
      <w:pPr>
        <w:pStyle w:val="ListParagraph"/>
        <w:numPr>
          <w:ilvl w:val="0"/>
          <w:numId w:val="30"/>
        </w:numPr>
      </w:pPr>
      <w:r>
        <w:t>Excessive pressure should be avoided when instilling a thrombolytic agent into the catheter in order to avoid ruptures of the catheter or expulsion of the clot into the circulation.</w:t>
      </w:r>
    </w:p>
    <w:p w:rsidR="00EC781C" w:rsidRDefault="00EC781C" w:rsidP="00EC781C">
      <w:pPr>
        <w:pStyle w:val="ListParagraph"/>
        <w:numPr>
          <w:ilvl w:val="0"/>
          <w:numId w:val="30"/>
        </w:numPr>
      </w:pPr>
      <w:r>
        <w:t>Attach the CathFlo-filled syringe to the stopcock port opposite the catheter hub and attach an empty 10 mL syringe to the side port</w:t>
      </w:r>
      <w:proofErr w:type="gramStart"/>
      <w:r>
        <w:t>;  turn</w:t>
      </w:r>
      <w:proofErr w:type="gramEnd"/>
      <w:r>
        <w:t xml:space="preserve"> off the stopcock to the CathFlo-filled syringe which will open the stopcock to the empty syringe.</w:t>
      </w:r>
    </w:p>
    <w:p w:rsidR="00EC781C" w:rsidRDefault="00EC781C" w:rsidP="00EC781C">
      <w:pPr>
        <w:pStyle w:val="ListParagraph"/>
        <w:numPr>
          <w:ilvl w:val="0"/>
          <w:numId w:val="30"/>
        </w:numPr>
      </w:pPr>
      <w:r>
        <w:t>Pull back on the empty syringe plunger to the 8 mL mark and while maintaining negative pressure turn off the stopcock to the empty syringe which will open the stopcock to the CathFlo-filled syringe</w:t>
      </w:r>
    </w:p>
    <w:p w:rsidR="00EC781C" w:rsidRDefault="00EC781C" w:rsidP="00EC781C">
      <w:pPr>
        <w:pStyle w:val="ListParagraph"/>
        <w:numPr>
          <w:ilvl w:val="0"/>
          <w:numId w:val="30"/>
        </w:numPr>
      </w:pPr>
      <w:r>
        <w:t xml:space="preserve">Allow the CathFlo to fill the lumen slowly; </w:t>
      </w:r>
      <w:proofErr w:type="spellStart"/>
      <w:r>
        <w:t>reclamp</w:t>
      </w:r>
      <w:proofErr w:type="spellEnd"/>
      <w:r>
        <w:t xml:space="preserve"> the catheter, remove the stopcock and aseptically cap the hub.</w:t>
      </w:r>
    </w:p>
    <w:p w:rsidR="00EC781C" w:rsidRDefault="00EC781C" w:rsidP="00EC781C">
      <w:pPr>
        <w:pStyle w:val="ListParagraph"/>
        <w:numPr>
          <w:ilvl w:val="0"/>
          <w:numId w:val="30"/>
        </w:numPr>
      </w:pPr>
      <w:r>
        <w:t>Allow the CathFlo to dwell for 30 minutes</w:t>
      </w:r>
    </w:p>
    <w:p w:rsidR="00EC781C" w:rsidRDefault="00EC781C" w:rsidP="00EC781C">
      <w:pPr>
        <w:pStyle w:val="ListParagraph"/>
        <w:numPr>
          <w:ilvl w:val="0"/>
          <w:numId w:val="30"/>
        </w:numPr>
      </w:pPr>
      <w:r>
        <w:t>Clamp the catheter and remove the cap</w:t>
      </w:r>
    </w:p>
    <w:p w:rsidR="00EC781C" w:rsidRDefault="00EC781C" w:rsidP="00EC781C">
      <w:pPr>
        <w:pStyle w:val="ListParagraph"/>
        <w:numPr>
          <w:ilvl w:val="0"/>
          <w:numId w:val="30"/>
        </w:numPr>
      </w:pPr>
      <w:r>
        <w:t>Attach an empty syringe to the external hub of the catheter, unclamp the catheter, and attempt to aspirate.  If the catheter is functional, go to Step 16.  If the catheter is not functional go the Step 14</w:t>
      </w:r>
    </w:p>
    <w:p w:rsidR="00EC781C" w:rsidRDefault="00EC781C" w:rsidP="00EC781C">
      <w:pPr>
        <w:pStyle w:val="ListParagraph"/>
        <w:numPr>
          <w:ilvl w:val="0"/>
          <w:numId w:val="30"/>
        </w:numPr>
      </w:pPr>
      <w:r>
        <w:t>After 120 minutes of dwell time, assess catheter function again by attempting to aspirate catheter contents.  If the catheter is functional, go to Step 16.   If the catheter is not functional go to Step 15.</w:t>
      </w:r>
    </w:p>
    <w:p w:rsidR="00EC781C" w:rsidRDefault="00EC781C" w:rsidP="00EC781C">
      <w:pPr>
        <w:pStyle w:val="ListParagraph"/>
        <w:numPr>
          <w:ilvl w:val="0"/>
          <w:numId w:val="30"/>
        </w:numPr>
      </w:pPr>
      <w:r>
        <w:t xml:space="preserve">If catheter function is not restored after one dose of CathFlo </w:t>
      </w:r>
      <w:proofErr w:type="gramStart"/>
      <w:r>
        <w:t>Activase ,</w:t>
      </w:r>
      <w:proofErr w:type="gramEnd"/>
      <w:r>
        <w:t xml:space="preserve"> a second dose may be instilled, repeating the above procedure.</w:t>
      </w:r>
    </w:p>
    <w:p w:rsidR="00EC781C" w:rsidRPr="00C21EA8" w:rsidRDefault="00EC781C" w:rsidP="00EC781C">
      <w:pPr>
        <w:pStyle w:val="ListParagraph"/>
        <w:numPr>
          <w:ilvl w:val="0"/>
          <w:numId w:val="30"/>
        </w:numPr>
      </w:pPr>
      <w:r>
        <w:t>If the catheter function has been restored, aspirate 4-5 mL of blood to remove CathFlo Activase and residual clot, and gently irrigate with 0.9%  Sodium Chloride</w:t>
      </w:r>
    </w:p>
    <w:p w:rsidR="000C3B10" w:rsidRDefault="000C3B10" w:rsidP="00AD72CC">
      <w:pPr>
        <w:rPr>
          <w:b/>
        </w:rPr>
      </w:pPr>
    </w:p>
    <w:sectPr w:rsidR="000C3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A9A"/>
    <w:multiLevelType w:val="hybridMultilevel"/>
    <w:tmpl w:val="BE6A7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2324E9"/>
    <w:multiLevelType w:val="hybridMultilevel"/>
    <w:tmpl w:val="6928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B523C"/>
    <w:multiLevelType w:val="hybridMultilevel"/>
    <w:tmpl w:val="359C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8970AA"/>
    <w:multiLevelType w:val="hybridMultilevel"/>
    <w:tmpl w:val="CC8ED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494B32"/>
    <w:multiLevelType w:val="hybridMultilevel"/>
    <w:tmpl w:val="0A444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F6E3C"/>
    <w:multiLevelType w:val="hybridMultilevel"/>
    <w:tmpl w:val="7CC8A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00DCA"/>
    <w:multiLevelType w:val="hybridMultilevel"/>
    <w:tmpl w:val="D6B2F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76090B"/>
    <w:multiLevelType w:val="hybridMultilevel"/>
    <w:tmpl w:val="8C8EBB6A"/>
    <w:lvl w:ilvl="0" w:tplc="63C882B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F60651"/>
    <w:multiLevelType w:val="hybridMultilevel"/>
    <w:tmpl w:val="F6C69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2143D2"/>
    <w:multiLevelType w:val="hybridMultilevel"/>
    <w:tmpl w:val="3BBAC0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E4797D"/>
    <w:multiLevelType w:val="hybridMultilevel"/>
    <w:tmpl w:val="219014E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A96D5F"/>
    <w:multiLevelType w:val="hybridMultilevel"/>
    <w:tmpl w:val="5040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20BDD"/>
    <w:multiLevelType w:val="hybridMultilevel"/>
    <w:tmpl w:val="8BF0DA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18664C"/>
    <w:multiLevelType w:val="hybridMultilevel"/>
    <w:tmpl w:val="301AAD04"/>
    <w:lvl w:ilvl="0" w:tplc="7A5CBDA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D414F4"/>
    <w:multiLevelType w:val="hybridMultilevel"/>
    <w:tmpl w:val="00B814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561F05"/>
    <w:multiLevelType w:val="singleLevel"/>
    <w:tmpl w:val="5E08CCA6"/>
    <w:lvl w:ilvl="0">
      <w:start w:val="1"/>
      <w:numFmt w:val="decimal"/>
      <w:lvlText w:val="%1."/>
      <w:legacy w:legacy="1" w:legacySpace="0" w:legacyIndent="360"/>
      <w:lvlJc w:val="left"/>
      <w:pPr>
        <w:ind w:left="360" w:hanging="360"/>
      </w:pPr>
    </w:lvl>
  </w:abstractNum>
  <w:abstractNum w:abstractNumId="16">
    <w:nsid w:val="3AC85BAA"/>
    <w:multiLevelType w:val="hybridMultilevel"/>
    <w:tmpl w:val="1BBC6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B5C22"/>
    <w:multiLevelType w:val="hybridMultilevel"/>
    <w:tmpl w:val="BD0604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4F50A0"/>
    <w:multiLevelType w:val="hybridMultilevel"/>
    <w:tmpl w:val="E9FC1E7E"/>
    <w:lvl w:ilvl="0" w:tplc="F5A203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E810B5C"/>
    <w:multiLevelType w:val="hybridMultilevel"/>
    <w:tmpl w:val="E6C6D4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866D28"/>
    <w:multiLevelType w:val="hybridMultilevel"/>
    <w:tmpl w:val="5C92D9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C832C1"/>
    <w:multiLevelType w:val="hybridMultilevel"/>
    <w:tmpl w:val="BFA6DD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D22751"/>
    <w:multiLevelType w:val="hybridMultilevel"/>
    <w:tmpl w:val="2B886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CF67FD"/>
    <w:multiLevelType w:val="hybridMultilevel"/>
    <w:tmpl w:val="FECA55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0A45CC"/>
    <w:multiLevelType w:val="hybridMultilevel"/>
    <w:tmpl w:val="AF12B1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A204855"/>
    <w:multiLevelType w:val="hybridMultilevel"/>
    <w:tmpl w:val="42D8E50E"/>
    <w:lvl w:ilvl="0" w:tplc="D5D87582">
      <w:start w:val="1"/>
      <w:numFmt w:val="decimal"/>
      <w:lvlText w:val="%1."/>
      <w:lvlJc w:val="left"/>
      <w:pPr>
        <w:tabs>
          <w:tab w:val="num" w:pos="1440"/>
        </w:tabs>
        <w:ind w:left="1440" w:hanging="72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0FF5CB0"/>
    <w:multiLevelType w:val="hybridMultilevel"/>
    <w:tmpl w:val="2A206D36"/>
    <w:lvl w:ilvl="0" w:tplc="1298D054">
      <w:start w:val="1"/>
      <w:numFmt w:val="decimal"/>
      <w:lvlText w:val="%1."/>
      <w:lvlJc w:val="left"/>
      <w:pPr>
        <w:tabs>
          <w:tab w:val="num" w:pos="720"/>
        </w:tabs>
        <w:ind w:left="720" w:hanging="360"/>
      </w:pPr>
      <w:rPr>
        <w:rFonts w:hint="default"/>
      </w:rPr>
    </w:lvl>
    <w:lvl w:ilvl="1" w:tplc="46F818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A33FD6"/>
    <w:multiLevelType w:val="hybridMultilevel"/>
    <w:tmpl w:val="6FC6638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2CE22F3"/>
    <w:multiLevelType w:val="hybridMultilevel"/>
    <w:tmpl w:val="4B9057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181B79"/>
    <w:multiLevelType w:val="hybridMultilevel"/>
    <w:tmpl w:val="3536E5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2A71A3"/>
    <w:multiLevelType w:val="hybridMultilevel"/>
    <w:tmpl w:val="7214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14"/>
  </w:num>
  <w:num w:numId="4">
    <w:abstractNumId w:val="2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0"/>
  </w:num>
  <w:num w:numId="8">
    <w:abstractNumId w:val="0"/>
  </w:num>
  <w:num w:numId="9">
    <w:abstractNumId w:val="2"/>
  </w:num>
  <w:num w:numId="10">
    <w:abstractNumId w:val="5"/>
  </w:num>
  <w:num w:numId="11">
    <w:abstractNumId w:val="22"/>
  </w:num>
  <w:num w:numId="12">
    <w:abstractNumId w:val="9"/>
  </w:num>
  <w:num w:numId="13">
    <w:abstractNumId w:val="17"/>
  </w:num>
  <w:num w:numId="14">
    <w:abstractNumId w:val="29"/>
  </w:num>
  <w:num w:numId="15">
    <w:abstractNumId w:val="23"/>
  </w:num>
  <w:num w:numId="16">
    <w:abstractNumId w:val="8"/>
  </w:num>
  <w:num w:numId="17">
    <w:abstractNumId w:val="12"/>
  </w:num>
  <w:num w:numId="18">
    <w:abstractNumId w:val="28"/>
  </w:num>
  <w:num w:numId="19">
    <w:abstractNumId w:val="3"/>
  </w:num>
  <w:num w:numId="20">
    <w:abstractNumId w:val="6"/>
  </w:num>
  <w:num w:numId="21">
    <w:abstractNumId w:val="26"/>
  </w:num>
  <w:num w:numId="22">
    <w:abstractNumId w:val="25"/>
  </w:num>
  <w:num w:numId="23">
    <w:abstractNumId w:val="7"/>
  </w:num>
  <w:num w:numId="24">
    <w:abstractNumId w:val="13"/>
  </w:num>
  <w:num w:numId="25">
    <w:abstractNumId w:val="21"/>
  </w:num>
  <w:num w:numId="26">
    <w:abstractNumId w:val="15"/>
  </w:num>
  <w:num w:numId="27">
    <w:abstractNumId w:val="11"/>
  </w:num>
  <w:num w:numId="28">
    <w:abstractNumId w:val="1"/>
  </w:num>
  <w:num w:numId="29">
    <w:abstractNumId w:val="30"/>
  </w:num>
  <w:num w:numId="30">
    <w:abstractNumId w:val="1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8B"/>
    <w:rsid w:val="0001458B"/>
    <w:rsid w:val="00031A1F"/>
    <w:rsid w:val="000C2A51"/>
    <w:rsid w:val="000C3B10"/>
    <w:rsid w:val="000E6825"/>
    <w:rsid w:val="001423CA"/>
    <w:rsid w:val="00167163"/>
    <w:rsid w:val="002D1CA2"/>
    <w:rsid w:val="002E7A87"/>
    <w:rsid w:val="00362305"/>
    <w:rsid w:val="003C2F85"/>
    <w:rsid w:val="003E6D3E"/>
    <w:rsid w:val="00413BA4"/>
    <w:rsid w:val="00470DD1"/>
    <w:rsid w:val="0048405B"/>
    <w:rsid w:val="004A27DF"/>
    <w:rsid w:val="004B5BC7"/>
    <w:rsid w:val="00564BB0"/>
    <w:rsid w:val="00564F9A"/>
    <w:rsid w:val="0057004C"/>
    <w:rsid w:val="005C30EF"/>
    <w:rsid w:val="0061129A"/>
    <w:rsid w:val="00706726"/>
    <w:rsid w:val="007939A6"/>
    <w:rsid w:val="008240A2"/>
    <w:rsid w:val="00871223"/>
    <w:rsid w:val="00907372"/>
    <w:rsid w:val="00931AD0"/>
    <w:rsid w:val="00935C87"/>
    <w:rsid w:val="00965615"/>
    <w:rsid w:val="00A81B33"/>
    <w:rsid w:val="00AD4D93"/>
    <w:rsid w:val="00AD65C9"/>
    <w:rsid w:val="00AD72CC"/>
    <w:rsid w:val="00BE3AD5"/>
    <w:rsid w:val="00C16E70"/>
    <w:rsid w:val="00C21EA8"/>
    <w:rsid w:val="00CC437B"/>
    <w:rsid w:val="00D100CB"/>
    <w:rsid w:val="00D15D14"/>
    <w:rsid w:val="00D31EA8"/>
    <w:rsid w:val="00DA74F7"/>
    <w:rsid w:val="00DA7B90"/>
    <w:rsid w:val="00DD6D69"/>
    <w:rsid w:val="00E03373"/>
    <w:rsid w:val="00E25D2E"/>
    <w:rsid w:val="00E932D4"/>
    <w:rsid w:val="00EC781C"/>
    <w:rsid w:val="00FB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27DF"/>
    <w:pPr>
      <w:keepNext/>
      <w:widowControl/>
      <w:autoSpaceDE/>
      <w:autoSpaceDN/>
      <w:adjustRightInd/>
      <w:outlineLvl w:val="0"/>
    </w:pPr>
    <w:rPr>
      <w:b/>
      <w:bCs/>
      <w:sz w:val="28"/>
    </w:rPr>
  </w:style>
  <w:style w:type="paragraph" w:styleId="Heading3">
    <w:name w:val="heading 3"/>
    <w:basedOn w:val="Normal"/>
    <w:next w:val="Normal"/>
    <w:link w:val="Heading3Char"/>
    <w:uiPriority w:val="9"/>
    <w:semiHidden/>
    <w:unhideWhenUsed/>
    <w:qFormat/>
    <w:rsid w:val="007067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437B"/>
    <w:pPr>
      <w:widowControl/>
      <w:autoSpaceDE/>
      <w:autoSpaceDN/>
      <w:adjustRightInd/>
      <w:ind w:left="720"/>
    </w:pPr>
  </w:style>
  <w:style w:type="character" w:customStyle="1" w:styleId="Heading1Char">
    <w:name w:val="Heading 1 Char"/>
    <w:basedOn w:val="DefaultParagraphFont"/>
    <w:link w:val="Heading1"/>
    <w:rsid w:val="004A27DF"/>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
    <w:semiHidden/>
    <w:rsid w:val="00706726"/>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5C30EF"/>
    <w:pPr>
      <w:widowControl/>
      <w:autoSpaceDE/>
      <w:autoSpaceDN/>
      <w:adjustRightInd/>
    </w:pPr>
    <w:rPr>
      <w:bCs/>
      <w:sz w:val="28"/>
    </w:rPr>
  </w:style>
  <w:style w:type="character" w:customStyle="1" w:styleId="BodyTextChar">
    <w:name w:val="Body Text Char"/>
    <w:basedOn w:val="DefaultParagraphFont"/>
    <w:link w:val="BodyText"/>
    <w:rsid w:val="005C30EF"/>
    <w:rPr>
      <w:rFonts w:ascii="Times New Roman" w:eastAsia="Times New Roman" w:hAnsi="Times New Roman" w:cs="Times New Roman"/>
      <w:bCs/>
      <w:sz w:val="28"/>
      <w:szCs w:val="24"/>
    </w:rPr>
  </w:style>
  <w:style w:type="paragraph" w:styleId="BodyTextIndent">
    <w:name w:val="Body Text Indent"/>
    <w:basedOn w:val="Normal"/>
    <w:link w:val="BodyTextIndentChar"/>
    <w:uiPriority w:val="99"/>
    <w:semiHidden/>
    <w:unhideWhenUsed/>
    <w:rsid w:val="00DA74F7"/>
    <w:pPr>
      <w:spacing w:after="120"/>
      <w:ind w:left="360"/>
    </w:pPr>
  </w:style>
  <w:style w:type="character" w:customStyle="1" w:styleId="BodyTextIndentChar">
    <w:name w:val="Body Text Indent Char"/>
    <w:basedOn w:val="DefaultParagraphFont"/>
    <w:link w:val="BodyTextIndent"/>
    <w:uiPriority w:val="99"/>
    <w:semiHidden/>
    <w:rsid w:val="00DA74F7"/>
    <w:rPr>
      <w:rFonts w:ascii="Times New Roman" w:eastAsia="Times New Roman" w:hAnsi="Times New Roman" w:cs="Times New Roman"/>
      <w:sz w:val="24"/>
      <w:szCs w:val="24"/>
    </w:rPr>
  </w:style>
  <w:style w:type="paragraph" w:styleId="Title">
    <w:name w:val="Title"/>
    <w:basedOn w:val="Normal"/>
    <w:link w:val="TitleChar"/>
    <w:qFormat/>
    <w:rsid w:val="00DA74F7"/>
    <w:pPr>
      <w:widowControl/>
      <w:autoSpaceDE/>
      <w:autoSpaceDN/>
      <w:adjustRightInd/>
      <w:jc w:val="center"/>
    </w:pPr>
    <w:rPr>
      <w:b/>
      <w:bCs/>
      <w:sz w:val="32"/>
    </w:rPr>
  </w:style>
  <w:style w:type="character" w:customStyle="1" w:styleId="TitleChar">
    <w:name w:val="Title Char"/>
    <w:basedOn w:val="DefaultParagraphFont"/>
    <w:link w:val="Title"/>
    <w:rsid w:val="00DA74F7"/>
    <w:rPr>
      <w:rFonts w:ascii="Times New Roman" w:eastAsia="Times New Roman"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27DF"/>
    <w:pPr>
      <w:keepNext/>
      <w:widowControl/>
      <w:autoSpaceDE/>
      <w:autoSpaceDN/>
      <w:adjustRightInd/>
      <w:outlineLvl w:val="0"/>
    </w:pPr>
    <w:rPr>
      <w:b/>
      <w:bCs/>
      <w:sz w:val="28"/>
    </w:rPr>
  </w:style>
  <w:style w:type="paragraph" w:styleId="Heading3">
    <w:name w:val="heading 3"/>
    <w:basedOn w:val="Normal"/>
    <w:next w:val="Normal"/>
    <w:link w:val="Heading3Char"/>
    <w:uiPriority w:val="9"/>
    <w:semiHidden/>
    <w:unhideWhenUsed/>
    <w:qFormat/>
    <w:rsid w:val="007067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437B"/>
    <w:pPr>
      <w:widowControl/>
      <w:autoSpaceDE/>
      <w:autoSpaceDN/>
      <w:adjustRightInd/>
      <w:ind w:left="720"/>
    </w:pPr>
  </w:style>
  <w:style w:type="character" w:customStyle="1" w:styleId="Heading1Char">
    <w:name w:val="Heading 1 Char"/>
    <w:basedOn w:val="DefaultParagraphFont"/>
    <w:link w:val="Heading1"/>
    <w:rsid w:val="004A27DF"/>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
    <w:semiHidden/>
    <w:rsid w:val="00706726"/>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5C30EF"/>
    <w:pPr>
      <w:widowControl/>
      <w:autoSpaceDE/>
      <w:autoSpaceDN/>
      <w:adjustRightInd/>
    </w:pPr>
    <w:rPr>
      <w:bCs/>
      <w:sz w:val="28"/>
    </w:rPr>
  </w:style>
  <w:style w:type="character" w:customStyle="1" w:styleId="BodyTextChar">
    <w:name w:val="Body Text Char"/>
    <w:basedOn w:val="DefaultParagraphFont"/>
    <w:link w:val="BodyText"/>
    <w:rsid w:val="005C30EF"/>
    <w:rPr>
      <w:rFonts w:ascii="Times New Roman" w:eastAsia="Times New Roman" w:hAnsi="Times New Roman" w:cs="Times New Roman"/>
      <w:bCs/>
      <w:sz w:val="28"/>
      <w:szCs w:val="24"/>
    </w:rPr>
  </w:style>
  <w:style w:type="paragraph" w:styleId="BodyTextIndent">
    <w:name w:val="Body Text Indent"/>
    <w:basedOn w:val="Normal"/>
    <w:link w:val="BodyTextIndentChar"/>
    <w:uiPriority w:val="99"/>
    <w:semiHidden/>
    <w:unhideWhenUsed/>
    <w:rsid w:val="00DA74F7"/>
    <w:pPr>
      <w:spacing w:after="120"/>
      <w:ind w:left="360"/>
    </w:pPr>
  </w:style>
  <w:style w:type="character" w:customStyle="1" w:styleId="BodyTextIndentChar">
    <w:name w:val="Body Text Indent Char"/>
    <w:basedOn w:val="DefaultParagraphFont"/>
    <w:link w:val="BodyTextIndent"/>
    <w:uiPriority w:val="99"/>
    <w:semiHidden/>
    <w:rsid w:val="00DA74F7"/>
    <w:rPr>
      <w:rFonts w:ascii="Times New Roman" w:eastAsia="Times New Roman" w:hAnsi="Times New Roman" w:cs="Times New Roman"/>
      <w:sz w:val="24"/>
      <w:szCs w:val="24"/>
    </w:rPr>
  </w:style>
  <w:style w:type="paragraph" w:styleId="Title">
    <w:name w:val="Title"/>
    <w:basedOn w:val="Normal"/>
    <w:link w:val="TitleChar"/>
    <w:qFormat/>
    <w:rsid w:val="00DA74F7"/>
    <w:pPr>
      <w:widowControl/>
      <w:autoSpaceDE/>
      <w:autoSpaceDN/>
      <w:adjustRightInd/>
      <w:jc w:val="center"/>
    </w:pPr>
    <w:rPr>
      <w:b/>
      <w:bCs/>
      <w:sz w:val="32"/>
    </w:rPr>
  </w:style>
  <w:style w:type="character" w:customStyle="1" w:styleId="TitleChar">
    <w:name w:val="Title Char"/>
    <w:basedOn w:val="DefaultParagraphFont"/>
    <w:link w:val="Title"/>
    <w:rsid w:val="00DA74F7"/>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9E9F-02AC-4734-86E5-170F9CF8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Candyce Payne</dc:creator>
  <cp:lastModifiedBy>Jennifer Wagner</cp:lastModifiedBy>
  <cp:revision>2</cp:revision>
  <cp:lastPrinted>2015-07-10T15:08:00Z</cp:lastPrinted>
  <dcterms:created xsi:type="dcterms:W3CDTF">2015-11-11T19:43:00Z</dcterms:created>
  <dcterms:modified xsi:type="dcterms:W3CDTF">2015-11-11T19:43:00Z</dcterms:modified>
</cp:coreProperties>
</file>